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900D90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00D90" w:rsidRPr="00050125" w:rsidRDefault="00900D90" w:rsidP="00E67254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050125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0D90" w:rsidRPr="00050125" w:rsidRDefault="00900D90" w:rsidP="00E67254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050125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00D90" w:rsidRPr="00F4423A" w:rsidRDefault="00474F27" w:rsidP="00474F27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CEST aplicável às operações com “</w:t>
            </w:r>
            <w:proofErr w:type="gramStart"/>
            <w:r w:rsidRPr="00474F27">
              <w:rPr>
                <w:rFonts w:ascii="Times New Roman" w:hAnsi="Times New Roman"/>
              </w:rPr>
              <w:t>PB.</w:t>
            </w:r>
            <w:proofErr w:type="gramEnd"/>
            <w:r w:rsidRPr="00474F27">
              <w:rPr>
                <w:rFonts w:ascii="Times New Roman" w:hAnsi="Times New Roman"/>
              </w:rPr>
              <w:t>610 – GLP (PROPANO/BUTANO)</w:t>
            </w:r>
            <w:r>
              <w:rPr>
                <w:rFonts w:ascii="Times New Roman" w:hAnsi="Times New Roman"/>
              </w:rPr>
              <w:t>”</w:t>
            </w:r>
            <w:r w:rsidR="006449F8" w:rsidRPr="00050125">
              <w:rPr>
                <w:rFonts w:ascii="Times New Roman" w:hAnsi="Times New Roman"/>
                <w:szCs w:val="22"/>
              </w:rPr>
              <w:t>.</w:t>
            </w:r>
            <w:r w:rsidR="00894992">
              <w:rPr>
                <w:rFonts w:ascii="Times New Roman" w:hAnsi="Times New Roman"/>
                <w:szCs w:val="22"/>
              </w:rPr>
              <w:t xml:space="preserve">                                     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A64BA9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  <w:p w:rsidR="00D47680" w:rsidRPr="003C74CE" w:rsidRDefault="00D47680" w:rsidP="003A24C8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                     </w:t>
            </w:r>
            <w:r w:rsidR="003A24C8">
              <w:rPr>
                <w:rFonts w:ascii="Times New Roman" w:hAnsi="Times New Roman"/>
                <w:szCs w:val="22"/>
              </w:rPr>
              <w:t>146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E86525">
              <w:rPr>
                <w:rFonts w:ascii="Times New Roman" w:hAnsi="Times New Roman"/>
                <w:szCs w:val="22"/>
              </w:rPr>
              <w:t>7</w:t>
            </w:r>
          </w:p>
        </w:tc>
      </w:tr>
    </w:tbl>
    <w:p w:rsidR="0044157F" w:rsidRPr="00BB416F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6"/>
          <w:szCs w:val="22"/>
        </w:rPr>
      </w:pPr>
    </w:p>
    <w:p w:rsidR="003C74CE" w:rsidRPr="00BB416F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6"/>
          <w:szCs w:val="22"/>
        </w:rPr>
      </w:pPr>
    </w:p>
    <w:p w:rsidR="00D47680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BB416F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0"/>
        </w:rPr>
      </w:pPr>
    </w:p>
    <w:p w:rsidR="00900D90" w:rsidRDefault="00900D90" w:rsidP="00900D90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vem solicitar </w:t>
      </w:r>
      <w:r>
        <w:rPr>
          <w:b/>
          <w:sz w:val="22"/>
          <w:szCs w:val="22"/>
        </w:rPr>
        <w:t xml:space="preserve">o entendimento desta Superintendência de Tributação </w:t>
      </w:r>
      <w:r w:rsidR="00160495" w:rsidRPr="00160495">
        <w:rPr>
          <w:b/>
          <w:sz w:val="22"/>
          <w:szCs w:val="22"/>
        </w:rPr>
        <w:t xml:space="preserve">acerca </w:t>
      </w:r>
      <w:r w:rsidR="00474F27">
        <w:rPr>
          <w:b/>
          <w:sz w:val="22"/>
          <w:szCs w:val="22"/>
        </w:rPr>
        <w:t>do</w:t>
      </w:r>
      <w:r w:rsidR="00474F27" w:rsidRPr="00474F27">
        <w:rPr>
          <w:b/>
          <w:sz w:val="22"/>
          <w:szCs w:val="22"/>
        </w:rPr>
        <w:t xml:space="preserve"> CEST aplicável às operações com “</w:t>
      </w:r>
      <w:proofErr w:type="gramStart"/>
      <w:r w:rsidR="00474F27" w:rsidRPr="00474F27">
        <w:rPr>
          <w:b/>
          <w:sz w:val="22"/>
          <w:szCs w:val="22"/>
        </w:rPr>
        <w:t>PB.</w:t>
      </w:r>
      <w:proofErr w:type="gramEnd"/>
      <w:r w:rsidR="00474F27" w:rsidRPr="00474F27">
        <w:rPr>
          <w:b/>
          <w:sz w:val="22"/>
          <w:szCs w:val="22"/>
        </w:rPr>
        <w:t>610 – GLP (PROPANO/BUTANO)”</w:t>
      </w:r>
      <w:r>
        <w:rPr>
          <w:b/>
          <w:sz w:val="22"/>
          <w:szCs w:val="22"/>
        </w:rPr>
        <w:t>.</w:t>
      </w:r>
    </w:p>
    <w:p w:rsidR="00900D90" w:rsidRDefault="00900D90" w:rsidP="00900D9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 xml:space="preserve">O processo encontra-se instruído </w:t>
      </w:r>
      <w:r w:rsidR="000C5196" w:rsidRPr="008D0CD7">
        <w:rPr>
          <w:sz w:val="22"/>
          <w:szCs w:val="22"/>
        </w:rPr>
        <w:t>com DARJ referente ao recolhimento da taxa de serviços Estaduais (fl</w:t>
      </w:r>
      <w:r w:rsidR="000C5196">
        <w:rPr>
          <w:sz w:val="22"/>
          <w:szCs w:val="22"/>
        </w:rPr>
        <w:t>s</w:t>
      </w:r>
      <w:r w:rsidR="000C5196" w:rsidRPr="008D0CD7">
        <w:rPr>
          <w:sz w:val="22"/>
          <w:szCs w:val="22"/>
        </w:rPr>
        <w:t xml:space="preserve">. </w:t>
      </w:r>
      <w:r w:rsidR="007908DA">
        <w:rPr>
          <w:sz w:val="22"/>
          <w:szCs w:val="22"/>
        </w:rPr>
        <w:t>10</w:t>
      </w:r>
      <w:r w:rsidR="000C5196">
        <w:rPr>
          <w:sz w:val="22"/>
          <w:szCs w:val="22"/>
        </w:rPr>
        <w:t>/</w:t>
      </w:r>
      <w:r w:rsidR="007908DA">
        <w:rPr>
          <w:sz w:val="22"/>
          <w:szCs w:val="22"/>
        </w:rPr>
        <w:t>11</w:t>
      </w:r>
      <w:r w:rsidR="000C5196">
        <w:rPr>
          <w:sz w:val="22"/>
          <w:szCs w:val="22"/>
        </w:rPr>
        <w:t xml:space="preserve">) e </w:t>
      </w:r>
      <w:r w:rsidR="007760F0">
        <w:rPr>
          <w:sz w:val="22"/>
          <w:szCs w:val="22"/>
        </w:rPr>
        <w:t>com cópias reprográficas</w:t>
      </w:r>
      <w:r w:rsidR="007760F0" w:rsidRPr="00524448">
        <w:rPr>
          <w:sz w:val="22"/>
          <w:szCs w:val="22"/>
        </w:rPr>
        <w:t xml:space="preserve"> que comprovam a habilitação do signatário da petição inicial</w:t>
      </w:r>
      <w:r w:rsidR="007760F0" w:rsidRPr="008D0CD7">
        <w:rPr>
          <w:sz w:val="22"/>
          <w:szCs w:val="22"/>
        </w:rPr>
        <w:t xml:space="preserve"> (fl</w:t>
      </w:r>
      <w:r w:rsidR="007760F0">
        <w:rPr>
          <w:sz w:val="22"/>
          <w:szCs w:val="22"/>
        </w:rPr>
        <w:t>s</w:t>
      </w:r>
      <w:r w:rsidR="007760F0" w:rsidRPr="008D0CD7">
        <w:rPr>
          <w:sz w:val="22"/>
          <w:szCs w:val="22"/>
        </w:rPr>
        <w:t>.</w:t>
      </w:r>
      <w:r w:rsidR="007908DA">
        <w:rPr>
          <w:sz w:val="22"/>
          <w:szCs w:val="22"/>
        </w:rPr>
        <w:t>12</w:t>
      </w:r>
      <w:r w:rsidR="000C5196">
        <w:rPr>
          <w:sz w:val="22"/>
          <w:szCs w:val="22"/>
        </w:rPr>
        <w:t>/</w:t>
      </w:r>
      <w:r w:rsidR="007908DA">
        <w:rPr>
          <w:sz w:val="22"/>
          <w:szCs w:val="22"/>
        </w:rPr>
        <w:t>18</w:t>
      </w:r>
      <w:r w:rsidR="007760F0" w:rsidRPr="008D0CD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3305D" w:rsidRDefault="0023305D" w:rsidP="000C5196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AF</w:t>
      </w:r>
      <w:r w:rsidR="000C5196">
        <w:rPr>
          <w:sz w:val="22"/>
          <w:szCs w:val="22"/>
        </w:rPr>
        <w:t>E</w:t>
      </w:r>
      <w:r w:rsidR="00900D90">
        <w:rPr>
          <w:sz w:val="22"/>
          <w:szCs w:val="22"/>
        </w:rPr>
        <w:t xml:space="preserve"> </w:t>
      </w:r>
      <w:r w:rsidR="00160495">
        <w:rPr>
          <w:sz w:val="22"/>
          <w:szCs w:val="22"/>
        </w:rPr>
        <w:t>04</w:t>
      </w:r>
      <w:r w:rsidRPr="0023305D">
        <w:rPr>
          <w:sz w:val="22"/>
          <w:szCs w:val="22"/>
        </w:rPr>
        <w:t xml:space="preserve"> se manifestou que </w:t>
      </w:r>
      <w:r w:rsidR="000C5196">
        <w:rPr>
          <w:sz w:val="22"/>
          <w:szCs w:val="22"/>
        </w:rPr>
        <w:t>“</w:t>
      </w:r>
      <w:r w:rsidR="00160495">
        <w:rPr>
          <w:i/>
          <w:sz w:val="22"/>
          <w:szCs w:val="22"/>
        </w:rPr>
        <w:t>não obstante a existência de ações fiscais em curso para a</w:t>
      </w:r>
      <w:r w:rsidR="007908DA">
        <w:rPr>
          <w:i/>
          <w:sz w:val="22"/>
          <w:szCs w:val="22"/>
        </w:rPr>
        <w:t>s inscrições</w:t>
      </w:r>
      <w:r w:rsidR="00160495">
        <w:rPr>
          <w:i/>
          <w:sz w:val="22"/>
          <w:szCs w:val="22"/>
        </w:rPr>
        <w:t xml:space="preserve"> estadua</w:t>
      </w:r>
      <w:r w:rsidR="007908DA">
        <w:rPr>
          <w:i/>
          <w:sz w:val="22"/>
          <w:szCs w:val="22"/>
        </w:rPr>
        <w:t>is</w:t>
      </w:r>
      <w:r w:rsidR="00160495">
        <w:rPr>
          <w:i/>
          <w:sz w:val="22"/>
          <w:szCs w:val="22"/>
        </w:rPr>
        <w:t xml:space="preserve"> n° 80.170.270</w:t>
      </w:r>
      <w:r w:rsidR="007908DA">
        <w:rPr>
          <w:i/>
          <w:sz w:val="22"/>
          <w:szCs w:val="22"/>
        </w:rPr>
        <w:t xml:space="preserve"> e 80.931.638</w:t>
      </w:r>
      <w:r w:rsidR="00160495">
        <w:rPr>
          <w:i/>
          <w:sz w:val="22"/>
          <w:szCs w:val="22"/>
        </w:rPr>
        <w:t>, relativa</w:t>
      </w:r>
      <w:r w:rsidR="007908DA">
        <w:rPr>
          <w:i/>
          <w:sz w:val="22"/>
          <w:szCs w:val="22"/>
        </w:rPr>
        <w:t>s</w:t>
      </w:r>
      <w:r w:rsidR="00160495">
        <w:rPr>
          <w:i/>
          <w:sz w:val="22"/>
          <w:szCs w:val="22"/>
        </w:rPr>
        <w:t xml:space="preserve"> ao</w:t>
      </w:r>
      <w:r w:rsidR="007908DA">
        <w:rPr>
          <w:i/>
          <w:sz w:val="22"/>
          <w:szCs w:val="22"/>
        </w:rPr>
        <w:t>s</w:t>
      </w:r>
      <w:r w:rsidR="00160495">
        <w:rPr>
          <w:i/>
          <w:sz w:val="22"/>
          <w:szCs w:val="22"/>
        </w:rPr>
        <w:t xml:space="preserve"> estabelecimento</w:t>
      </w:r>
      <w:r w:rsidR="007908DA">
        <w:rPr>
          <w:i/>
          <w:sz w:val="22"/>
          <w:szCs w:val="22"/>
        </w:rPr>
        <w:t>s</w:t>
      </w:r>
      <w:r w:rsidR="00160495">
        <w:rPr>
          <w:i/>
          <w:sz w:val="22"/>
          <w:szCs w:val="22"/>
        </w:rPr>
        <w:t xml:space="preserve"> do contribuinte consulente</w:t>
      </w:r>
      <w:r w:rsidR="00211B79">
        <w:rPr>
          <w:i/>
          <w:sz w:val="22"/>
          <w:szCs w:val="22"/>
        </w:rPr>
        <w:t xml:space="preserve"> afetados pela presente consulta, nenhuma </w:t>
      </w:r>
      <w:r w:rsidR="00160495">
        <w:rPr>
          <w:i/>
          <w:sz w:val="22"/>
          <w:szCs w:val="22"/>
        </w:rPr>
        <w:t>delas apresenta vínculo expresso com o tema da inicial constante nas folhas 03 a 0</w:t>
      </w:r>
      <w:r w:rsidR="00211B79">
        <w:rPr>
          <w:i/>
          <w:sz w:val="22"/>
          <w:szCs w:val="22"/>
        </w:rPr>
        <w:t>9</w:t>
      </w:r>
      <w:r w:rsidR="000C5196">
        <w:rPr>
          <w:sz w:val="22"/>
          <w:szCs w:val="22"/>
        </w:rPr>
        <w:t>”</w:t>
      </w:r>
      <w:r w:rsidR="00160495">
        <w:rPr>
          <w:sz w:val="22"/>
          <w:szCs w:val="22"/>
        </w:rPr>
        <w:t xml:space="preserve"> e que “</w:t>
      </w:r>
      <w:r w:rsidR="00160495">
        <w:rPr>
          <w:i/>
          <w:sz w:val="22"/>
          <w:szCs w:val="22"/>
        </w:rPr>
        <w:t>também</w:t>
      </w:r>
      <w:r w:rsidR="00D9577E">
        <w:rPr>
          <w:i/>
          <w:sz w:val="22"/>
          <w:szCs w:val="22"/>
        </w:rPr>
        <w:t xml:space="preserve"> não se constatou qualquer autuação ainda pendente de decisão final para esse</w:t>
      </w:r>
      <w:r w:rsidR="00211B79">
        <w:rPr>
          <w:i/>
          <w:sz w:val="22"/>
          <w:szCs w:val="22"/>
        </w:rPr>
        <w:t>s</w:t>
      </w:r>
      <w:r w:rsidR="00D9577E">
        <w:rPr>
          <w:i/>
          <w:sz w:val="22"/>
          <w:szCs w:val="22"/>
        </w:rPr>
        <w:t xml:space="preserve"> </w:t>
      </w:r>
      <w:r w:rsidR="00211B79">
        <w:rPr>
          <w:i/>
          <w:sz w:val="22"/>
          <w:szCs w:val="22"/>
        </w:rPr>
        <w:t>estabelecimentos</w:t>
      </w:r>
      <w:r w:rsidR="00D9577E">
        <w:rPr>
          <w:i/>
          <w:sz w:val="22"/>
          <w:szCs w:val="22"/>
        </w:rPr>
        <w:t>, cujo fundamento esteja direta ou indiretamente relacionado à consulta formulada no presente processo</w:t>
      </w:r>
      <w:r w:rsidR="00160495">
        <w:rPr>
          <w:sz w:val="22"/>
          <w:szCs w:val="22"/>
        </w:rPr>
        <w:t>”</w:t>
      </w:r>
      <w:r w:rsidR="000C5196">
        <w:rPr>
          <w:sz w:val="22"/>
          <w:szCs w:val="22"/>
        </w:rPr>
        <w:t xml:space="preserve"> (fl. </w:t>
      </w:r>
      <w:r w:rsidR="00211B79">
        <w:rPr>
          <w:sz w:val="22"/>
          <w:szCs w:val="22"/>
        </w:rPr>
        <w:t>20</w:t>
      </w:r>
      <w:r w:rsidR="000C5196">
        <w:rPr>
          <w:sz w:val="22"/>
          <w:szCs w:val="22"/>
        </w:rPr>
        <w:t>).</w:t>
      </w:r>
    </w:p>
    <w:p w:rsidR="00B5458D" w:rsidRPr="00050125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"/>
        </w:rPr>
      </w:pPr>
    </w:p>
    <w:p w:rsidR="00A64BA9" w:rsidRPr="00BB416F" w:rsidRDefault="00A64BA9" w:rsidP="00C80334">
      <w:pPr>
        <w:pStyle w:val="Corpodetexto"/>
        <w:spacing w:line="360" w:lineRule="auto"/>
        <w:jc w:val="both"/>
        <w:rPr>
          <w:b/>
          <w:sz w:val="4"/>
          <w:szCs w:val="22"/>
        </w:rPr>
      </w:pPr>
    </w:p>
    <w:p w:rsidR="00B5458D" w:rsidRDefault="00B5458D" w:rsidP="00C80334">
      <w:pPr>
        <w:pStyle w:val="Corpodetexto"/>
        <w:spacing w:line="360" w:lineRule="auto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 xml:space="preserve">, </w:t>
      </w:r>
      <w:r w:rsidR="000C5196">
        <w:rPr>
          <w:b/>
          <w:sz w:val="22"/>
          <w:szCs w:val="22"/>
        </w:rPr>
        <w:t>CONSULTA</w:t>
      </w:r>
      <w:r w:rsidRPr="004136EA">
        <w:rPr>
          <w:b/>
          <w:sz w:val="22"/>
          <w:szCs w:val="22"/>
        </w:rPr>
        <w:t>:</w:t>
      </w:r>
    </w:p>
    <w:p w:rsidR="00A64BA9" w:rsidRPr="00BB416F" w:rsidRDefault="00A64BA9" w:rsidP="00C80334">
      <w:pPr>
        <w:pStyle w:val="Corpodetexto"/>
        <w:spacing w:line="360" w:lineRule="auto"/>
        <w:jc w:val="both"/>
        <w:rPr>
          <w:b/>
          <w:sz w:val="6"/>
          <w:szCs w:val="22"/>
        </w:rPr>
      </w:pPr>
    </w:p>
    <w:p w:rsidR="000C5196" w:rsidRPr="00211B79" w:rsidRDefault="00211B79" w:rsidP="00B5458D">
      <w:pPr>
        <w:pStyle w:val="Corpodetexto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211B79">
        <w:rPr>
          <w:i/>
          <w:sz w:val="22"/>
          <w:szCs w:val="22"/>
        </w:rPr>
        <w:t xml:space="preserve">Tendo em vista que a Petrobras </w:t>
      </w:r>
      <w:r w:rsidRPr="00211B79">
        <w:rPr>
          <w:b/>
          <w:i/>
          <w:sz w:val="22"/>
          <w:szCs w:val="22"/>
          <w:u w:val="single"/>
        </w:rPr>
        <w:t>não</w:t>
      </w:r>
      <w:r w:rsidRPr="00211B79">
        <w:rPr>
          <w:i/>
          <w:sz w:val="22"/>
          <w:szCs w:val="22"/>
        </w:rPr>
        <w:t xml:space="preserve"> comercializa o GLP em botijão de 13 Kg, está correto o entendimento de que nas notas fiscais de venda de GLP da Petrobras </w:t>
      </w:r>
      <w:r w:rsidRPr="00211B79">
        <w:rPr>
          <w:b/>
          <w:i/>
          <w:sz w:val="22"/>
          <w:szCs w:val="22"/>
          <w:u w:val="single"/>
        </w:rPr>
        <w:t>não</w:t>
      </w:r>
      <w:r w:rsidRPr="00211B79">
        <w:rPr>
          <w:i/>
          <w:sz w:val="22"/>
          <w:szCs w:val="22"/>
        </w:rPr>
        <w:t xml:space="preserve"> deverão ser utilizados os códigos CEST 06.011.00, 06.011.02, 06.011.04, 06.011.06 ainda que o ICMS-ST tenha sido calculado com base no PMPF do GLP (P13), conforme disposto em Ato </w:t>
      </w:r>
      <w:proofErr w:type="spellStart"/>
      <w:r w:rsidRPr="00211B79">
        <w:rPr>
          <w:i/>
          <w:sz w:val="22"/>
          <w:szCs w:val="22"/>
        </w:rPr>
        <w:t>Cotepe</w:t>
      </w:r>
      <w:proofErr w:type="spellEnd"/>
      <w:r w:rsidRPr="00211B79">
        <w:rPr>
          <w:i/>
          <w:sz w:val="22"/>
          <w:szCs w:val="22"/>
        </w:rPr>
        <w:t xml:space="preserve"> PMPF?</w:t>
      </w:r>
    </w:p>
    <w:p w:rsidR="00E90A54" w:rsidRPr="00584223" w:rsidRDefault="00584223" w:rsidP="00584223">
      <w:pPr>
        <w:pStyle w:val="Corpodetexto"/>
        <w:numPr>
          <w:ilvl w:val="0"/>
          <w:numId w:val="30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</w:t>
      </w:r>
      <w:r w:rsidR="00E90A54" w:rsidRPr="00584223">
        <w:rPr>
          <w:i/>
          <w:sz w:val="22"/>
          <w:szCs w:val="22"/>
        </w:rPr>
        <w:t xml:space="preserve">ntendemos que a Petrobras deverá adotar os seguintes códigos CEST, nas notas fiscais do produto </w:t>
      </w:r>
      <w:proofErr w:type="gramStart"/>
      <w:r w:rsidR="00E90A54" w:rsidRPr="00584223">
        <w:rPr>
          <w:i/>
          <w:sz w:val="22"/>
          <w:szCs w:val="22"/>
        </w:rPr>
        <w:t>PB.</w:t>
      </w:r>
      <w:proofErr w:type="gramEnd"/>
      <w:r w:rsidR="00E90A54" w:rsidRPr="00584223">
        <w:rPr>
          <w:i/>
          <w:sz w:val="22"/>
          <w:szCs w:val="22"/>
        </w:rPr>
        <w:t>610 – GLP (PROPANO/BUTANO):</w:t>
      </w:r>
    </w:p>
    <w:p w:rsidR="00E90A54" w:rsidRPr="00E90A54" w:rsidRDefault="00E90A54" w:rsidP="00E90A54">
      <w:pPr>
        <w:pStyle w:val="Corpodetexto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Nas notas fiscais de </w:t>
      </w:r>
      <w:proofErr w:type="gramStart"/>
      <w:r>
        <w:rPr>
          <w:i/>
          <w:sz w:val="22"/>
          <w:szCs w:val="22"/>
        </w:rPr>
        <w:t>PB.</w:t>
      </w:r>
      <w:proofErr w:type="gramEnd"/>
      <w:r>
        <w:rPr>
          <w:i/>
          <w:sz w:val="22"/>
          <w:szCs w:val="22"/>
        </w:rPr>
        <w:t>610 – GLP (PROPANO/BUTANO) 100% derivado de petróleo deverá constar o código 06.011.01 – Gás liquefeito de petróleo (GLP), exceto em botijão de 13 Kg.</w:t>
      </w:r>
    </w:p>
    <w:p w:rsidR="00E90A54" w:rsidRPr="00E90A54" w:rsidRDefault="00E90A54" w:rsidP="00E90A54">
      <w:pPr>
        <w:pStyle w:val="Corpodetexto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Nas notas fiscais de </w:t>
      </w:r>
      <w:proofErr w:type="gramStart"/>
      <w:r>
        <w:rPr>
          <w:i/>
          <w:sz w:val="22"/>
          <w:szCs w:val="22"/>
        </w:rPr>
        <w:t>PB.</w:t>
      </w:r>
      <w:proofErr w:type="gramEnd"/>
      <w:r>
        <w:rPr>
          <w:i/>
          <w:sz w:val="22"/>
          <w:szCs w:val="22"/>
        </w:rPr>
        <w:t>610 – GLP (PROPANO/BUTANO) 100% derivado de gás natural deverá constar o código 06.011.03 – Gás liquefeito de petróleo (</w:t>
      </w:r>
      <w:proofErr w:type="spellStart"/>
      <w:r>
        <w:rPr>
          <w:i/>
          <w:sz w:val="22"/>
          <w:szCs w:val="22"/>
        </w:rPr>
        <w:t>GLGNn</w:t>
      </w:r>
      <w:proofErr w:type="spellEnd"/>
      <w:r>
        <w:rPr>
          <w:i/>
          <w:sz w:val="22"/>
          <w:szCs w:val="22"/>
        </w:rPr>
        <w:t>), exceto em botijão de 13 Kg;</w:t>
      </w:r>
    </w:p>
    <w:p w:rsidR="00E90A54" w:rsidRPr="00E90A54" w:rsidRDefault="00E90A54" w:rsidP="00E90A54">
      <w:pPr>
        <w:pStyle w:val="Corpodetexto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Nas notas fiscais de </w:t>
      </w:r>
      <w:proofErr w:type="gramStart"/>
      <w:r>
        <w:rPr>
          <w:i/>
          <w:sz w:val="22"/>
          <w:szCs w:val="22"/>
        </w:rPr>
        <w:t>PB.</w:t>
      </w:r>
      <w:proofErr w:type="gramEnd"/>
      <w:r>
        <w:rPr>
          <w:i/>
          <w:sz w:val="22"/>
          <w:szCs w:val="22"/>
        </w:rPr>
        <w:t xml:space="preserve">610 – GLP (PROPANO/BUTANO) com origem estrangeira </w:t>
      </w:r>
      <w:r>
        <w:rPr>
          <w:i/>
          <w:sz w:val="22"/>
          <w:szCs w:val="22"/>
        </w:rPr>
        <w:lastRenderedPageBreak/>
        <w:t>deverá constar o código 06.011.05 – Gás liquefeito de petróleo (</w:t>
      </w:r>
      <w:proofErr w:type="spellStart"/>
      <w:r>
        <w:rPr>
          <w:i/>
          <w:sz w:val="22"/>
          <w:szCs w:val="22"/>
        </w:rPr>
        <w:t>GLGNi</w:t>
      </w:r>
      <w:proofErr w:type="spellEnd"/>
      <w:r>
        <w:rPr>
          <w:i/>
          <w:sz w:val="22"/>
          <w:szCs w:val="22"/>
        </w:rPr>
        <w:t>), exceto em botijão de 13 Kg;</w:t>
      </w:r>
    </w:p>
    <w:p w:rsidR="00E90A54" w:rsidRPr="00AB595F" w:rsidRDefault="00E90A54" w:rsidP="00E90A54">
      <w:pPr>
        <w:pStyle w:val="Corpodetexto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Nas notas fiscais de </w:t>
      </w:r>
      <w:proofErr w:type="gramStart"/>
      <w:r>
        <w:rPr>
          <w:i/>
          <w:sz w:val="22"/>
          <w:szCs w:val="22"/>
        </w:rPr>
        <w:t>PB.</w:t>
      </w:r>
      <w:proofErr w:type="gramEnd"/>
      <w:r>
        <w:rPr>
          <w:i/>
          <w:sz w:val="22"/>
          <w:szCs w:val="22"/>
        </w:rPr>
        <w:t>610 – GLP (PROPANO/BUTANO) com a indicação de percentual de gás natural</w:t>
      </w:r>
      <w:r w:rsidR="00AB595F">
        <w:rPr>
          <w:i/>
          <w:sz w:val="22"/>
          <w:szCs w:val="22"/>
        </w:rPr>
        <w:t xml:space="preserve"> diferente de 100% deverá constar o código 06.011.07 – Gás liquefeito de petróleo (Misturas), exceto em botijão de 13 Kg.</w:t>
      </w:r>
    </w:p>
    <w:p w:rsidR="00AB595F" w:rsidRPr="00E90A54" w:rsidRDefault="00AB595F" w:rsidP="00AB595F">
      <w:pPr>
        <w:pStyle w:val="Corpodetexto"/>
        <w:spacing w:line="360" w:lineRule="auto"/>
        <w:ind w:left="1069"/>
        <w:jc w:val="both"/>
        <w:rPr>
          <w:sz w:val="22"/>
          <w:szCs w:val="22"/>
        </w:rPr>
      </w:pPr>
      <w:r>
        <w:rPr>
          <w:i/>
          <w:sz w:val="22"/>
          <w:szCs w:val="22"/>
        </w:rPr>
        <w:t>Está correto o nosso entendimento?</w:t>
      </w:r>
    </w:p>
    <w:p w:rsidR="004D2984" w:rsidRPr="004D2984" w:rsidRDefault="004D2984" w:rsidP="004D2984">
      <w:pPr>
        <w:pStyle w:val="Corpodetexto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Como deverá ser o preenchimento do registro 0200 da Escrituração Fiscal Digital – EFD ICMS/IPI em relação ao produto </w:t>
      </w:r>
      <w:proofErr w:type="gramStart"/>
      <w:r>
        <w:rPr>
          <w:i/>
          <w:sz w:val="22"/>
          <w:szCs w:val="22"/>
        </w:rPr>
        <w:t>PB.</w:t>
      </w:r>
      <w:proofErr w:type="gramEnd"/>
      <w:r>
        <w:rPr>
          <w:i/>
          <w:sz w:val="22"/>
          <w:szCs w:val="22"/>
        </w:rPr>
        <w:t>610 – GLP (PROPANO/BUTANO) nos estabelecimentos em que o produto pode ser enquadrado, ao longo de uma mesma competência, em mais de um código CEST , tendo em vista que o código do Item é campo chave e só aceita um código CEST por código de produto? Poderá ser adotado o critério de relevância para a escolha de um único código CEST para preenchimento do registro 0200?</w:t>
      </w:r>
    </w:p>
    <w:p w:rsidR="0044157F" w:rsidRPr="00474F27" w:rsidRDefault="0044157F" w:rsidP="004D2984">
      <w:pPr>
        <w:pStyle w:val="Corpodetexto"/>
        <w:spacing w:line="360" w:lineRule="auto"/>
        <w:ind w:left="1069"/>
        <w:jc w:val="both"/>
        <w:rPr>
          <w:sz w:val="2"/>
          <w:szCs w:val="22"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BB416F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10"/>
        </w:rPr>
      </w:pPr>
    </w:p>
    <w:p w:rsidR="00B946C4" w:rsidRDefault="00B946C4" w:rsidP="00B946C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 xml:space="preserve">Preliminarmente, </w:t>
      </w:r>
      <w:r>
        <w:rPr>
          <w:rFonts w:ascii="Times New Roman" w:hAnsi="Times New Roman" w:cs="Times New Roman"/>
        </w:rPr>
        <w:t xml:space="preserve">é importante esclarecer que a consulta sobre a matéria tributária é facultada ao sujeito passivo da obrigação, isto é, deve ser apresentada individualmente por cada sujeito passivo interessado, acompanhada do </w:t>
      </w:r>
      <w:r w:rsidRPr="00CA0EB3">
        <w:rPr>
          <w:rFonts w:ascii="Times New Roman" w:hAnsi="Times New Roman" w:cs="Times New Roman"/>
        </w:rPr>
        <w:t>comprovante de recolhimento da taxa</w:t>
      </w:r>
      <w:r>
        <w:rPr>
          <w:rFonts w:ascii="Times New Roman" w:hAnsi="Times New Roman" w:cs="Times New Roman"/>
        </w:rPr>
        <w:t xml:space="preserve"> de serviços estaduais, nos termos do disposto no artigo 273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do </w:t>
      </w:r>
      <w:r w:rsidRPr="00CA0EB3">
        <w:rPr>
          <w:rFonts w:ascii="Times New Roman" w:hAnsi="Times New Roman" w:cs="Times New Roman"/>
        </w:rPr>
        <w:t>Decreto-Lei n° 05/75 - Código Tributário Estadual</w:t>
      </w:r>
      <w:r>
        <w:rPr>
          <w:rFonts w:ascii="Times New Roman" w:hAnsi="Times New Roman" w:cs="Times New Roman"/>
        </w:rPr>
        <w:t xml:space="preserve"> e nos artigos 150 e 151</w:t>
      </w:r>
      <w:r>
        <w:rPr>
          <w:rStyle w:val="Refde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do </w:t>
      </w:r>
      <w:r w:rsidRPr="00CA0EB3">
        <w:rPr>
          <w:rFonts w:ascii="Times New Roman" w:hAnsi="Times New Roman" w:cs="Times New Roman"/>
        </w:rPr>
        <w:t>Decreto n° 2473/79 - Regulamento do Processo Administrativo Tributário</w:t>
      </w:r>
      <w:r>
        <w:rPr>
          <w:rFonts w:ascii="Times New Roman" w:hAnsi="Times New Roman" w:cs="Times New Roman"/>
        </w:rPr>
        <w:t>.</w:t>
      </w:r>
    </w:p>
    <w:p w:rsidR="00B946C4" w:rsidRDefault="00B946C4" w:rsidP="00B946C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Dessa forma, esta consulta será conhecida somente em relação à consulente de </w:t>
      </w:r>
      <w:r w:rsidRPr="00B946C4">
        <w:rPr>
          <w:rFonts w:ascii="Times New Roman" w:hAnsi="Times New Roman" w:cs="Times New Roman"/>
          <w:b/>
        </w:rPr>
        <w:t>inscrição estadual n° 80.170.270</w:t>
      </w:r>
      <w:r>
        <w:rPr>
          <w:rFonts w:ascii="Times New Roman" w:hAnsi="Times New Roman" w:cs="Times New Roman"/>
        </w:rPr>
        <w:t xml:space="preserve">, tendo em vista ser o estabelecimento identificado no DARJ e no </w:t>
      </w:r>
      <w:r>
        <w:rPr>
          <w:rFonts w:ascii="Times New Roman" w:hAnsi="Times New Roman" w:cs="Times New Roman"/>
        </w:rPr>
        <w:lastRenderedPageBreak/>
        <w:t xml:space="preserve">Demonstrativo de Item de Pagamento – DIP (fl. 11). Logo, a presente solução de </w:t>
      </w:r>
      <w:r w:rsidRPr="00714722">
        <w:rPr>
          <w:rFonts w:ascii="Times New Roman" w:hAnsi="Times New Roman" w:cs="Times New Roman"/>
        </w:rPr>
        <w:t>consulta somente produzirá os efeitos que lhe são próprios</w:t>
      </w:r>
      <w:r>
        <w:rPr>
          <w:rFonts w:ascii="Times New Roman" w:hAnsi="Times New Roman" w:cs="Times New Roman"/>
        </w:rPr>
        <w:t xml:space="preserve"> em relação a este estabelecimento.</w:t>
      </w:r>
    </w:p>
    <w:p w:rsidR="00A64BA9" w:rsidRDefault="00B946C4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Ademais</w:t>
      </w:r>
      <w:r w:rsidR="00A64BA9" w:rsidRPr="00A64BA9">
        <w:rPr>
          <w:rFonts w:ascii="Times New Roman" w:hAnsi="Times New Roman" w:cs="Times New Roman"/>
        </w:rPr>
        <w:t>, esclarecemos que o objetivo das soluções de consulta tributária é esclarecer questões objetivas formuladas pelos consulentes acerca da interpretação de dispositivos específicos da legislação tributária no âmbito da Secretaria de Fazenda do Estado do Rio de Janeiro, presumindo-se corretas as informações apresentadas pelos consulentes, sem questionar sua exatidão.  As soluções de consulta não convalidam informações, interpretações, ações ou omissões aduzidas na consulta.</w:t>
      </w:r>
    </w:p>
    <w:p w:rsidR="004D2984" w:rsidRDefault="00E71856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Relativamente ao primeiro</w:t>
      </w:r>
      <w:r w:rsidR="007B127A">
        <w:rPr>
          <w:rFonts w:ascii="Times New Roman" w:hAnsi="Times New Roman" w:cs="Times New Roman"/>
        </w:rPr>
        <w:t xml:space="preserve"> </w:t>
      </w:r>
      <w:r w:rsidR="00D56D2E">
        <w:rPr>
          <w:rFonts w:ascii="Times New Roman" w:hAnsi="Times New Roman" w:cs="Times New Roman"/>
        </w:rPr>
        <w:t>ques</w:t>
      </w:r>
      <w:r w:rsidR="00BD4049">
        <w:rPr>
          <w:rFonts w:ascii="Times New Roman" w:hAnsi="Times New Roman" w:cs="Times New Roman"/>
        </w:rPr>
        <w:t xml:space="preserve">tionamento apresentado, </w:t>
      </w:r>
      <w:r w:rsidR="00555F86">
        <w:rPr>
          <w:rFonts w:ascii="Times New Roman" w:hAnsi="Times New Roman" w:cs="Times New Roman"/>
        </w:rPr>
        <w:t>é importante destacar a afirmação da consulente que “</w:t>
      </w:r>
      <w:r w:rsidR="00555F86">
        <w:rPr>
          <w:rFonts w:ascii="Times New Roman" w:hAnsi="Times New Roman" w:cs="Times New Roman"/>
          <w:i/>
        </w:rPr>
        <w:t xml:space="preserve">não comercializa o produto acondicionado em recipientes transportáveis com capacidade de até </w:t>
      </w:r>
      <w:proofErr w:type="gramStart"/>
      <w:r w:rsidR="00555F86">
        <w:rPr>
          <w:rFonts w:ascii="Times New Roman" w:hAnsi="Times New Roman" w:cs="Times New Roman"/>
          <w:i/>
        </w:rPr>
        <w:t>13kg</w:t>
      </w:r>
      <w:proofErr w:type="gramEnd"/>
      <w:r w:rsidR="00555F86">
        <w:rPr>
          <w:rFonts w:ascii="Times New Roman" w:hAnsi="Times New Roman" w:cs="Times New Roman"/>
          <w:i/>
        </w:rPr>
        <w:t xml:space="preserve"> </w:t>
      </w:r>
      <w:r w:rsidR="00555F86" w:rsidRPr="00555F86">
        <w:rPr>
          <w:rFonts w:ascii="Times New Roman" w:hAnsi="Times New Roman" w:cs="Times New Roman"/>
        </w:rPr>
        <w:t>[...]</w:t>
      </w:r>
      <w:r w:rsidR="00555F86">
        <w:rPr>
          <w:rFonts w:ascii="Times New Roman" w:hAnsi="Times New Roman" w:cs="Times New Roman"/>
          <w:i/>
        </w:rPr>
        <w:t>. A comercialização e o envasamento em botijão de 13 Kg é realizado por distribuidoras de GLP</w:t>
      </w:r>
      <w:r w:rsidR="00555F86">
        <w:rPr>
          <w:rFonts w:ascii="Times New Roman" w:hAnsi="Times New Roman" w:cs="Times New Roman"/>
        </w:rPr>
        <w:t xml:space="preserve">” (fl. 4). </w:t>
      </w:r>
      <w:r w:rsidR="007B127A">
        <w:rPr>
          <w:rFonts w:ascii="Times New Roman" w:hAnsi="Times New Roman" w:cs="Times New Roman"/>
        </w:rPr>
        <w:t>Nesse sentido está correto o entendimento da consulente de que</w:t>
      </w:r>
      <w:r w:rsidR="00555F86">
        <w:rPr>
          <w:rFonts w:ascii="Times New Roman" w:hAnsi="Times New Roman" w:cs="Times New Roman"/>
        </w:rPr>
        <w:t xml:space="preserve"> </w:t>
      </w:r>
      <w:r w:rsidR="007B127A" w:rsidRPr="007B127A">
        <w:rPr>
          <w:rFonts w:ascii="Times New Roman" w:hAnsi="Times New Roman" w:cs="Times New Roman"/>
          <w:b/>
          <w:u w:val="single"/>
        </w:rPr>
        <w:t>não deverão ser utilizados os códigos CEST 06.011.00, 06.011.02, 06.011.04, 06.011.06</w:t>
      </w:r>
      <w:r w:rsidR="007B127A">
        <w:rPr>
          <w:rFonts w:ascii="Times New Roman" w:hAnsi="Times New Roman" w:cs="Times New Roman"/>
        </w:rPr>
        <w:t>, tendo em vista a</w:t>
      </w:r>
      <w:r w:rsidR="007B127A" w:rsidRPr="007B127A">
        <w:rPr>
          <w:rFonts w:ascii="Times New Roman" w:hAnsi="Times New Roman" w:cs="Times New Roman"/>
        </w:rPr>
        <w:t xml:space="preserve"> Petrobras não comercializa</w:t>
      </w:r>
      <w:r w:rsidR="007B127A">
        <w:rPr>
          <w:rFonts w:ascii="Times New Roman" w:hAnsi="Times New Roman" w:cs="Times New Roman"/>
        </w:rPr>
        <w:t>r</w:t>
      </w:r>
      <w:r w:rsidR="007B127A" w:rsidRPr="007B127A">
        <w:rPr>
          <w:rFonts w:ascii="Times New Roman" w:hAnsi="Times New Roman" w:cs="Times New Roman"/>
        </w:rPr>
        <w:t xml:space="preserve"> o GLP em botijão de 13 Kg</w:t>
      </w:r>
      <w:r w:rsidR="007B127A">
        <w:rPr>
          <w:rFonts w:ascii="Times New Roman" w:hAnsi="Times New Roman" w:cs="Times New Roman"/>
        </w:rPr>
        <w:t>.</w:t>
      </w:r>
    </w:p>
    <w:p w:rsidR="00584223" w:rsidRDefault="00E71856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ao segundo</w:t>
      </w:r>
      <w:r w:rsidR="00584223">
        <w:rPr>
          <w:rFonts w:ascii="Times New Roman" w:hAnsi="Times New Roman" w:cs="Times New Roman"/>
        </w:rPr>
        <w:t xml:space="preserve"> questionamento, a resposta é afirmativa, ou seja:</w:t>
      </w:r>
    </w:p>
    <w:p w:rsidR="00584223" w:rsidRPr="00584223" w:rsidRDefault="00584223" w:rsidP="00E71856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código 06.011.01, </w:t>
      </w:r>
      <w:r w:rsidR="00E71856">
        <w:rPr>
          <w:rFonts w:ascii="Times New Roman" w:hAnsi="Times New Roman" w:cs="Times New Roman"/>
        </w:rPr>
        <w:t>deve ser classificado o g</w:t>
      </w:r>
      <w:r w:rsidR="00E71856" w:rsidRPr="00E71856">
        <w:rPr>
          <w:rFonts w:ascii="Times New Roman" w:hAnsi="Times New Roman" w:cs="Times New Roman"/>
        </w:rPr>
        <w:t>ás liquefeito de petróleo (GLP), exceto em botijão de 13 Kg</w:t>
      </w:r>
      <w:r w:rsidR="00E71856">
        <w:rPr>
          <w:rFonts w:ascii="Times New Roman" w:hAnsi="Times New Roman" w:cs="Times New Roman"/>
        </w:rPr>
        <w:t>, 100% derivado de petróleo;</w:t>
      </w:r>
    </w:p>
    <w:p w:rsidR="00584223" w:rsidRPr="00584223" w:rsidRDefault="00584223" w:rsidP="00E71856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código 06.011.03, </w:t>
      </w:r>
      <w:r w:rsidR="00E71856">
        <w:rPr>
          <w:rFonts w:ascii="Times New Roman" w:hAnsi="Times New Roman" w:cs="Times New Roman"/>
        </w:rPr>
        <w:t>deve ser classificado o g</w:t>
      </w:r>
      <w:r w:rsidR="00E71856" w:rsidRPr="00E71856">
        <w:rPr>
          <w:rFonts w:ascii="Times New Roman" w:hAnsi="Times New Roman" w:cs="Times New Roman"/>
        </w:rPr>
        <w:t>ás liquefeito de petróleo (</w:t>
      </w:r>
      <w:proofErr w:type="spellStart"/>
      <w:proofErr w:type="gramStart"/>
      <w:r w:rsidR="00E71856" w:rsidRPr="00E71856">
        <w:rPr>
          <w:rFonts w:ascii="Times New Roman" w:hAnsi="Times New Roman" w:cs="Times New Roman"/>
        </w:rPr>
        <w:t>GLGNn</w:t>
      </w:r>
      <w:proofErr w:type="spellEnd"/>
      <w:proofErr w:type="gramEnd"/>
      <w:r w:rsidR="00E71856" w:rsidRPr="00E71856">
        <w:rPr>
          <w:rFonts w:ascii="Times New Roman" w:hAnsi="Times New Roman" w:cs="Times New Roman"/>
        </w:rPr>
        <w:t>), exceto em botijão de 13 Kg</w:t>
      </w:r>
      <w:r w:rsidR="00E71856">
        <w:rPr>
          <w:rFonts w:ascii="Times New Roman" w:hAnsi="Times New Roman" w:cs="Times New Roman"/>
        </w:rPr>
        <w:t xml:space="preserve">, </w:t>
      </w:r>
      <w:r w:rsidR="00E71856" w:rsidRPr="00E71856">
        <w:rPr>
          <w:rFonts w:ascii="Times New Roman" w:hAnsi="Times New Roman" w:cs="Times New Roman"/>
        </w:rPr>
        <w:t>100% derivado de gás natural</w:t>
      </w:r>
      <w:r w:rsidR="00E71856">
        <w:rPr>
          <w:rFonts w:ascii="Times New Roman" w:hAnsi="Times New Roman" w:cs="Times New Roman"/>
        </w:rPr>
        <w:t xml:space="preserve"> nacional;</w:t>
      </w:r>
    </w:p>
    <w:p w:rsidR="00584223" w:rsidRPr="00584223" w:rsidRDefault="00584223" w:rsidP="00E71856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código 06.011.05, </w:t>
      </w:r>
      <w:r w:rsidR="00E71856">
        <w:rPr>
          <w:rFonts w:ascii="Times New Roman" w:hAnsi="Times New Roman" w:cs="Times New Roman"/>
        </w:rPr>
        <w:t>deve ser classificado o g</w:t>
      </w:r>
      <w:r w:rsidR="00E71856" w:rsidRPr="00E71856">
        <w:rPr>
          <w:rFonts w:ascii="Times New Roman" w:hAnsi="Times New Roman" w:cs="Times New Roman"/>
        </w:rPr>
        <w:t>ás liquefeito de petróleo (</w:t>
      </w:r>
      <w:proofErr w:type="spellStart"/>
      <w:proofErr w:type="gramStart"/>
      <w:r w:rsidR="00E71856" w:rsidRPr="00E71856">
        <w:rPr>
          <w:rFonts w:ascii="Times New Roman" w:hAnsi="Times New Roman" w:cs="Times New Roman"/>
        </w:rPr>
        <w:t>GLGNi</w:t>
      </w:r>
      <w:proofErr w:type="spellEnd"/>
      <w:proofErr w:type="gramEnd"/>
      <w:r w:rsidR="00E71856" w:rsidRPr="00E71856">
        <w:rPr>
          <w:rFonts w:ascii="Times New Roman" w:hAnsi="Times New Roman" w:cs="Times New Roman"/>
        </w:rPr>
        <w:t>), exceto em botijão de 13 Kg</w:t>
      </w:r>
      <w:r w:rsidR="00E71856">
        <w:rPr>
          <w:rFonts w:ascii="Times New Roman" w:hAnsi="Times New Roman" w:cs="Times New Roman"/>
        </w:rPr>
        <w:t xml:space="preserve">, </w:t>
      </w:r>
      <w:r w:rsidR="00E71856" w:rsidRPr="00E71856">
        <w:rPr>
          <w:rFonts w:ascii="Times New Roman" w:hAnsi="Times New Roman" w:cs="Times New Roman"/>
        </w:rPr>
        <w:t>100% derivado de gás natural</w:t>
      </w:r>
      <w:r w:rsidR="00E71856">
        <w:rPr>
          <w:rFonts w:ascii="Times New Roman" w:hAnsi="Times New Roman" w:cs="Times New Roman"/>
        </w:rPr>
        <w:t xml:space="preserve"> importado;</w:t>
      </w:r>
    </w:p>
    <w:p w:rsidR="00584223" w:rsidRPr="00584223" w:rsidRDefault="00584223" w:rsidP="00E71856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código 06.011.07, </w:t>
      </w:r>
      <w:r w:rsidR="00E71856">
        <w:rPr>
          <w:rFonts w:ascii="Times New Roman" w:hAnsi="Times New Roman" w:cs="Times New Roman"/>
        </w:rPr>
        <w:t>deve ser classificado o g</w:t>
      </w:r>
      <w:r w:rsidR="00E71856" w:rsidRPr="00E71856">
        <w:rPr>
          <w:rFonts w:ascii="Times New Roman" w:hAnsi="Times New Roman" w:cs="Times New Roman"/>
        </w:rPr>
        <w:t>ás liquefeito de petróleo (Misturas), exceto em botijão de 13 Kg</w:t>
      </w:r>
      <w:r w:rsidR="00E71856">
        <w:rPr>
          <w:rFonts w:ascii="Times New Roman" w:hAnsi="Times New Roman" w:cs="Times New Roman"/>
        </w:rPr>
        <w:t xml:space="preserve">, com </w:t>
      </w:r>
      <w:r w:rsidR="00E71856" w:rsidRPr="00E71856">
        <w:rPr>
          <w:rFonts w:ascii="Times New Roman" w:hAnsi="Times New Roman" w:cs="Times New Roman"/>
        </w:rPr>
        <w:t>percentual de gás natural diferente de 100%</w:t>
      </w:r>
      <w:r w:rsidR="00E71856">
        <w:rPr>
          <w:rFonts w:ascii="Times New Roman" w:hAnsi="Times New Roman" w:cs="Times New Roman"/>
        </w:rPr>
        <w:t>.</w:t>
      </w:r>
    </w:p>
    <w:p w:rsidR="008142A2" w:rsidRDefault="00E71856" w:rsidP="004D565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em relação ao terceiro questionamento, </w:t>
      </w:r>
      <w:r w:rsidR="00831036">
        <w:rPr>
          <w:rFonts w:ascii="Times New Roman" w:hAnsi="Times New Roman" w:cs="Times New Roman"/>
        </w:rPr>
        <w:t xml:space="preserve">em que pese </w:t>
      </w:r>
      <w:r w:rsidR="00E66E5D">
        <w:rPr>
          <w:rFonts w:ascii="Times New Roman" w:hAnsi="Times New Roman" w:cs="Times New Roman"/>
        </w:rPr>
        <w:t xml:space="preserve">todo </w:t>
      </w:r>
      <w:r w:rsidR="00831036" w:rsidRPr="00831036">
        <w:rPr>
          <w:rFonts w:ascii="Times New Roman" w:hAnsi="Times New Roman" w:cs="Times New Roman"/>
        </w:rPr>
        <w:t>o estoque físico</w:t>
      </w:r>
      <w:r w:rsidR="00E66E5D">
        <w:rPr>
          <w:rStyle w:val="Refdenotaderodap"/>
          <w:rFonts w:ascii="Times New Roman" w:hAnsi="Times New Roman" w:cs="Times New Roman"/>
        </w:rPr>
        <w:footnoteReference w:id="3"/>
      </w:r>
      <w:r w:rsidR="00831036" w:rsidRPr="00831036">
        <w:rPr>
          <w:rFonts w:ascii="Times New Roman" w:hAnsi="Times New Roman" w:cs="Times New Roman"/>
        </w:rPr>
        <w:t xml:space="preserve"> do produto </w:t>
      </w:r>
      <w:proofErr w:type="gramStart"/>
      <w:r w:rsidR="00831036" w:rsidRPr="00831036">
        <w:rPr>
          <w:rFonts w:ascii="Times New Roman" w:hAnsi="Times New Roman" w:cs="Times New Roman"/>
        </w:rPr>
        <w:t>PB.</w:t>
      </w:r>
      <w:proofErr w:type="gramEnd"/>
      <w:r w:rsidR="00831036" w:rsidRPr="00831036">
        <w:rPr>
          <w:rFonts w:ascii="Times New Roman" w:hAnsi="Times New Roman" w:cs="Times New Roman"/>
        </w:rPr>
        <w:t>610 – GLP (PROPANO/BUTANO) ser</w:t>
      </w:r>
      <w:r w:rsidR="008D60DE">
        <w:rPr>
          <w:rFonts w:ascii="Times New Roman" w:hAnsi="Times New Roman" w:cs="Times New Roman"/>
        </w:rPr>
        <w:t>, atualmente,</w:t>
      </w:r>
      <w:r w:rsidR="00831036" w:rsidRPr="00831036">
        <w:rPr>
          <w:rFonts w:ascii="Times New Roman" w:hAnsi="Times New Roman" w:cs="Times New Roman"/>
        </w:rPr>
        <w:t xml:space="preserve"> controlado com um único código</w:t>
      </w:r>
      <w:r w:rsidR="00D5179E">
        <w:rPr>
          <w:rFonts w:ascii="Times New Roman" w:hAnsi="Times New Roman" w:cs="Times New Roman"/>
        </w:rPr>
        <w:t xml:space="preserve"> de item (Registro 0200)</w:t>
      </w:r>
      <w:r w:rsidR="008D60DE">
        <w:rPr>
          <w:rFonts w:ascii="Times New Roman" w:hAnsi="Times New Roman" w:cs="Times New Roman"/>
        </w:rPr>
        <w:t>; quando da escrituração do registro 0200 da EFD, deverão ser utilizados códigos de produto diferentes para cada c</w:t>
      </w:r>
      <w:r w:rsidR="00E66E5D">
        <w:rPr>
          <w:rFonts w:ascii="Times New Roman" w:hAnsi="Times New Roman" w:cs="Times New Roman"/>
        </w:rPr>
        <w:t>ódigo CEST, tendo em vista a impossibilidade operacional alegada de utilização de dois CEST distintos para um mesmo código de item.</w:t>
      </w:r>
    </w:p>
    <w:p w:rsidR="004E6506" w:rsidRPr="00BB416F" w:rsidRDefault="004E6506" w:rsidP="008D3AF0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B97310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BB416F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</w:rPr>
      </w:pPr>
    </w:p>
    <w:p w:rsidR="006449F8" w:rsidRPr="008D692B" w:rsidRDefault="002602BE" w:rsidP="005C2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lastRenderedPageBreak/>
        <w:t>Considerando o exposto,</w:t>
      </w:r>
      <w:r w:rsidR="008D692B">
        <w:rPr>
          <w:rFonts w:ascii="Times New Roman" w:hAnsi="Times New Roman" w:cs="Times New Roman"/>
        </w:rPr>
        <w:t xml:space="preserve"> </w:t>
      </w:r>
      <w:r w:rsidR="00AE79A5">
        <w:rPr>
          <w:rFonts w:ascii="Times New Roman" w:hAnsi="Times New Roman" w:cs="Times New Roman"/>
          <w:b/>
          <w:u w:val="single"/>
        </w:rPr>
        <w:t>(1)</w:t>
      </w:r>
      <w:r w:rsidR="0033143F" w:rsidRPr="0033143F">
        <w:rPr>
          <w:rFonts w:ascii="Times New Roman" w:hAnsi="Times New Roman" w:cs="Times New Roman"/>
          <w:b/>
          <w:u w:val="single"/>
        </w:rPr>
        <w:t xml:space="preserve"> </w:t>
      </w:r>
      <w:r w:rsidR="003176B7" w:rsidRPr="003176B7">
        <w:rPr>
          <w:rFonts w:ascii="Times New Roman" w:hAnsi="Times New Roman" w:cs="Times New Roman"/>
          <w:b/>
          <w:u w:val="single"/>
        </w:rPr>
        <w:t xml:space="preserve">tendo em vista que a Petrobras não comercializa o GLP em botijão de 13 Kg, não deverão ser utilizados os códigos CEST 06.011.00, </w:t>
      </w:r>
      <w:r w:rsidR="003176B7">
        <w:rPr>
          <w:rFonts w:ascii="Times New Roman" w:hAnsi="Times New Roman" w:cs="Times New Roman"/>
          <w:b/>
          <w:u w:val="single"/>
        </w:rPr>
        <w:t>06.011.02, 06.011.04, 06.011.06; (2a) n</w:t>
      </w:r>
      <w:r w:rsidR="003176B7" w:rsidRPr="003176B7">
        <w:rPr>
          <w:rFonts w:ascii="Times New Roman" w:hAnsi="Times New Roman" w:cs="Times New Roman"/>
          <w:b/>
          <w:u w:val="single"/>
        </w:rPr>
        <w:t xml:space="preserve">o código 06.011.01, deve ser classificado o gás liquefeito de petróleo (GLP), exceto em botijão de 13 Kg, 100% derivado de petróleo; </w:t>
      </w:r>
      <w:r w:rsidR="003176B7">
        <w:rPr>
          <w:rFonts w:ascii="Times New Roman" w:hAnsi="Times New Roman" w:cs="Times New Roman"/>
          <w:b/>
          <w:u w:val="single"/>
        </w:rPr>
        <w:t>(2b) n</w:t>
      </w:r>
      <w:r w:rsidR="003176B7" w:rsidRPr="003176B7">
        <w:rPr>
          <w:rFonts w:ascii="Times New Roman" w:hAnsi="Times New Roman" w:cs="Times New Roman"/>
          <w:b/>
          <w:u w:val="single"/>
        </w:rPr>
        <w:t>o código 06.011.03, deve ser classificado o gás liquefeito de petróleo (</w:t>
      </w:r>
      <w:proofErr w:type="spellStart"/>
      <w:proofErr w:type="gramStart"/>
      <w:r w:rsidR="003176B7" w:rsidRPr="003176B7">
        <w:rPr>
          <w:rFonts w:ascii="Times New Roman" w:hAnsi="Times New Roman" w:cs="Times New Roman"/>
          <w:b/>
          <w:u w:val="single"/>
        </w:rPr>
        <w:t>GLGNn</w:t>
      </w:r>
      <w:proofErr w:type="spellEnd"/>
      <w:proofErr w:type="gramEnd"/>
      <w:r w:rsidR="003176B7" w:rsidRPr="003176B7">
        <w:rPr>
          <w:rFonts w:ascii="Times New Roman" w:hAnsi="Times New Roman" w:cs="Times New Roman"/>
          <w:b/>
          <w:u w:val="single"/>
        </w:rPr>
        <w:t xml:space="preserve">), exceto em botijão de 13 Kg, 100% derivado de gás natural nacional; </w:t>
      </w:r>
      <w:r w:rsidR="003176B7">
        <w:rPr>
          <w:rFonts w:ascii="Times New Roman" w:hAnsi="Times New Roman" w:cs="Times New Roman"/>
          <w:b/>
          <w:u w:val="single"/>
        </w:rPr>
        <w:t>(2</w:t>
      </w:r>
      <w:r w:rsidR="003176B7" w:rsidRPr="003176B7">
        <w:rPr>
          <w:rFonts w:ascii="Times New Roman" w:hAnsi="Times New Roman" w:cs="Times New Roman"/>
          <w:b/>
          <w:u w:val="single"/>
        </w:rPr>
        <w:t xml:space="preserve">c) </w:t>
      </w:r>
      <w:r w:rsidR="003176B7">
        <w:rPr>
          <w:rFonts w:ascii="Times New Roman" w:hAnsi="Times New Roman" w:cs="Times New Roman"/>
          <w:b/>
          <w:u w:val="single"/>
        </w:rPr>
        <w:t>n</w:t>
      </w:r>
      <w:r w:rsidR="003176B7" w:rsidRPr="003176B7">
        <w:rPr>
          <w:rFonts w:ascii="Times New Roman" w:hAnsi="Times New Roman" w:cs="Times New Roman"/>
          <w:b/>
          <w:u w:val="single"/>
        </w:rPr>
        <w:t>o código 06.011.05, deve ser classificado o gás liquefeito de petróleo (</w:t>
      </w:r>
      <w:proofErr w:type="spellStart"/>
      <w:r w:rsidR="003176B7" w:rsidRPr="003176B7">
        <w:rPr>
          <w:rFonts w:ascii="Times New Roman" w:hAnsi="Times New Roman" w:cs="Times New Roman"/>
          <w:b/>
          <w:u w:val="single"/>
        </w:rPr>
        <w:t>GLGNi</w:t>
      </w:r>
      <w:proofErr w:type="spellEnd"/>
      <w:r w:rsidR="003176B7" w:rsidRPr="003176B7">
        <w:rPr>
          <w:rFonts w:ascii="Times New Roman" w:hAnsi="Times New Roman" w:cs="Times New Roman"/>
          <w:b/>
          <w:u w:val="single"/>
        </w:rPr>
        <w:t>), exceto em botijão de 13 Kg, 100% derivad</w:t>
      </w:r>
      <w:r w:rsidR="003176B7">
        <w:rPr>
          <w:rFonts w:ascii="Times New Roman" w:hAnsi="Times New Roman" w:cs="Times New Roman"/>
          <w:b/>
          <w:u w:val="single"/>
        </w:rPr>
        <w:t>o de gás natural importado; (2d) n</w:t>
      </w:r>
      <w:r w:rsidR="003176B7" w:rsidRPr="003176B7">
        <w:rPr>
          <w:rFonts w:ascii="Times New Roman" w:hAnsi="Times New Roman" w:cs="Times New Roman"/>
          <w:b/>
          <w:u w:val="single"/>
        </w:rPr>
        <w:t>o código 06.011.07, deve ser classificado o gás liquefeito de petróleo (Misturas), exceto em botijão de 13 Kg, com percentual d</w:t>
      </w:r>
      <w:r w:rsidR="003176B7">
        <w:rPr>
          <w:rFonts w:ascii="Times New Roman" w:hAnsi="Times New Roman" w:cs="Times New Roman"/>
          <w:b/>
          <w:u w:val="single"/>
        </w:rPr>
        <w:t xml:space="preserve">e gás natural diferente de 100%; (3) </w:t>
      </w:r>
      <w:r w:rsidR="003176B7" w:rsidRPr="003176B7">
        <w:rPr>
          <w:rFonts w:ascii="Times New Roman" w:hAnsi="Times New Roman" w:cs="Times New Roman"/>
          <w:b/>
          <w:u w:val="single"/>
        </w:rPr>
        <w:t>quando da escrituração do registro 0200 da EFD, deverão ser utilizados códigos de produto diferentes para cada código CEST</w:t>
      </w:r>
      <w:r w:rsidR="006449F8">
        <w:rPr>
          <w:rFonts w:ascii="Times New Roman" w:hAnsi="Times New Roman" w:cs="Times New Roman"/>
          <w:b/>
          <w:u w:val="single"/>
        </w:rPr>
        <w:t>.</w:t>
      </w:r>
    </w:p>
    <w:p w:rsidR="003176B7" w:rsidRPr="00474F27" w:rsidRDefault="003176B7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74F27">
        <w:rPr>
          <w:rFonts w:ascii="Times New Roman" w:hAnsi="Times New Roman" w:cs="Times New Roman"/>
        </w:rPr>
        <w:t xml:space="preserve">Esclarecemos, ainda, que a interpretação constante desta resposta de consulta corresponde à legislação tributária vigente nesta data. </w:t>
      </w:r>
      <w:r w:rsidRPr="00474F27">
        <w:rPr>
          <w:rFonts w:ascii="Times New Roman" w:hAnsi="Times New Roman" w:cs="Times New Roman"/>
          <w:u w:val="single"/>
        </w:rPr>
        <w:t xml:space="preserve">No caso de eventuais dificuldades para cumprimento da legislação tributária por conta das alterações introduzidas pelo Convênio ICMS 52/17, sugerimos que a consulente solicite participação na </w:t>
      </w:r>
      <w:r w:rsidR="00AC1258">
        <w:rPr>
          <w:rFonts w:ascii="Times New Roman" w:hAnsi="Times New Roman" w:cs="Times New Roman"/>
          <w:u w:val="single"/>
        </w:rPr>
        <w:t xml:space="preserve">próxima reunião do GT 05 – </w:t>
      </w:r>
      <w:proofErr w:type="gramStart"/>
      <w:r w:rsidR="00AC1258">
        <w:rPr>
          <w:rFonts w:ascii="Times New Roman" w:hAnsi="Times New Roman" w:cs="Times New Roman"/>
          <w:u w:val="single"/>
        </w:rPr>
        <w:t>COMBUSTÍ</w:t>
      </w:r>
      <w:r w:rsidRPr="00474F27">
        <w:rPr>
          <w:rFonts w:ascii="Times New Roman" w:hAnsi="Times New Roman" w:cs="Times New Roman"/>
          <w:u w:val="single"/>
        </w:rPr>
        <w:t>VEIS, realizado</w:t>
      </w:r>
      <w:proofErr w:type="gramEnd"/>
      <w:r w:rsidRPr="00474F27">
        <w:rPr>
          <w:rFonts w:ascii="Times New Roman" w:hAnsi="Times New Roman" w:cs="Times New Roman"/>
          <w:u w:val="single"/>
        </w:rPr>
        <w:t xml:space="preserve"> no âmbito do CONFAZ, </w:t>
      </w:r>
      <w:r w:rsidR="00474F27" w:rsidRPr="00474F27">
        <w:rPr>
          <w:rFonts w:ascii="Times New Roman" w:hAnsi="Times New Roman" w:cs="Times New Roman"/>
          <w:u w:val="single"/>
        </w:rPr>
        <w:t xml:space="preserve">por meio do e-mail: </w:t>
      </w:r>
      <w:r w:rsidR="00474F27" w:rsidRPr="00474F27">
        <w:rPr>
          <w:rFonts w:ascii="Times New Roman" w:hAnsi="Times New Roman" w:cs="Times New Roman"/>
          <w:b/>
          <w:u w:val="single"/>
        </w:rPr>
        <w:t>confaz@fazenda.gov.br</w:t>
      </w:r>
      <w:r w:rsidR="00474F27">
        <w:rPr>
          <w:rFonts w:ascii="Times New Roman" w:hAnsi="Times New Roman" w:cs="Times New Roman"/>
          <w:u w:val="single"/>
        </w:rPr>
        <w:t xml:space="preserve"> para apresentar os possíveis problemas operacionais e solicitar eventual alteração na norma em comento</w:t>
      </w:r>
      <w:r w:rsidR="00474F27" w:rsidRPr="00474F27">
        <w:rPr>
          <w:rFonts w:ascii="Times New Roman" w:hAnsi="Times New Roman" w:cs="Times New Roman"/>
          <w:u w:val="single"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3A24C8" w:rsidRDefault="003A24C8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487A3A" w:rsidRDefault="00462AC3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474F27">
        <w:rPr>
          <w:rFonts w:ascii="Times New Roman" w:hAnsi="Times New Roman" w:cs="Times New Roman"/>
        </w:rPr>
        <w:t>27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474F27">
        <w:rPr>
          <w:rFonts w:ascii="Times New Roman" w:hAnsi="Times New Roman" w:cs="Times New Roman"/>
        </w:rPr>
        <w:t>novembro</w:t>
      </w:r>
      <w:r w:rsidR="00544697">
        <w:rPr>
          <w:rFonts w:ascii="Times New Roman" w:hAnsi="Times New Roman" w:cs="Times New Roman"/>
        </w:rPr>
        <w:t xml:space="preserve"> de 201</w:t>
      </w:r>
      <w:r w:rsidR="00E86525">
        <w:rPr>
          <w:rFonts w:ascii="Times New Roman" w:hAnsi="Times New Roman" w:cs="Times New Roman"/>
        </w:rPr>
        <w:t>7</w:t>
      </w:r>
      <w:r w:rsidR="003C2B81">
        <w:rPr>
          <w:rFonts w:ascii="Times New Roman" w:hAnsi="Times New Roman" w:cs="Times New Roman"/>
        </w:rPr>
        <w:t>.</w:t>
      </w:r>
    </w:p>
    <w:p w:rsidR="002D2BF4" w:rsidRPr="00BB416F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8"/>
        </w:rPr>
      </w:pPr>
    </w:p>
    <w:sectPr w:rsidR="002D2BF4" w:rsidRPr="00BB416F" w:rsidSect="003A24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2" w:rsidRDefault="00024BD2" w:rsidP="00546EC0">
      <w:pPr>
        <w:spacing w:after="0" w:line="240" w:lineRule="auto"/>
      </w:pPr>
      <w:r>
        <w:separator/>
      </w:r>
    </w:p>
  </w:endnote>
  <w:endnote w:type="continuationSeparator" w:id="0">
    <w:p w:rsidR="00024BD2" w:rsidRDefault="00024BD2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C8" w:rsidRDefault="003A24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C8" w:rsidRDefault="003A24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C8" w:rsidRDefault="003A24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2" w:rsidRDefault="00024BD2" w:rsidP="00546EC0">
      <w:pPr>
        <w:spacing w:after="0" w:line="240" w:lineRule="auto"/>
      </w:pPr>
      <w:r>
        <w:separator/>
      </w:r>
    </w:p>
  </w:footnote>
  <w:footnote w:type="continuationSeparator" w:id="0">
    <w:p w:rsidR="00024BD2" w:rsidRDefault="00024BD2" w:rsidP="00546EC0">
      <w:pPr>
        <w:spacing w:after="0" w:line="240" w:lineRule="auto"/>
      </w:pPr>
      <w:r>
        <w:continuationSeparator/>
      </w:r>
    </w:p>
  </w:footnote>
  <w:footnote w:id="1">
    <w:p w:rsidR="00B946C4" w:rsidRPr="00CA0EB3" w:rsidRDefault="00B946C4" w:rsidP="00B946C4">
      <w:pPr>
        <w:pStyle w:val="Textodenotaderodap"/>
        <w:jc w:val="both"/>
        <w:rPr>
          <w:rFonts w:ascii="Times New Roman" w:hAnsi="Times New Roman" w:cs="Times New Roman"/>
          <w:b/>
          <w:u w:val="single"/>
        </w:rPr>
      </w:pPr>
      <w:r w:rsidRPr="00CA0EB3">
        <w:rPr>
          <w:rStyle w:val="Refdenotaderodap"/>
          <w:rFonts w:ascii="Times New Roman" w:hAnsi="Times New Roman" w:cs="Times New Roman"/>
        </w:rPr>
        <w:footnoteRef/>
      </w:r>
      <w:r w:rsidRPr="00CA0EB3">
        <w:rPr>
          <w:rFonts w:ascii="Times New Roman" w:hAnsi="Times New Roman" w:cs="Times New Roman"/>
        </w:rPr>
        <w:t xml:space="preserve"> </w:t>
      </w:r>
      <w:r w:rsidRPr="00CA0EB3">
        <w:rPr>
          <w:rFonts w:ascii="Times New Roman" w:hAnsi="Times New Roman" w:cs="Times New Roman"/>
          <w:b/>
          <w:u w:val="single"/>
        </w:rPr>
        <w:t>Decreto-Lei n° 05/75 - Código Tributário Estadual:</w:t>
      </w:r>
    </w:p>
    <w:p w:rsidR="00B946C4" w:rsidRPr="00CA0EB3" w:rsidRDefault="00B946C4" w:rsidP="00B946C4">
      <w:pPr>
        <w:pStyle w:val="Textodenotaderodap"/>
        <w:jc w:val="both"/>
        <w:rPr>
          <w:rFonts w:ascii="Times New Roman" w:hAnsi="Times New Roman" w:cs="Times New Roman"/>
        </w:rPr>
      </w:pPr>
      <w:r w:rsidRPr="00CA0EB3">
        <w:rPr>
          <w:rFonts w:ascii="Times New Roman" w:hAnsi="Times New Roman" w:cs="Times New Roman"/>
        </w:rPr>
        <w:t>Art. 273 - A consulta a ser apresentada, por escrito, sobre a matéria tributária, é facultada ao sujeito passivo da obrigação tributária e às outras pessoas, nas condições a serem determinadas pelo Poder Executivo.</w:t>
      </w:r>
    </w:p>
    <w:p w:rsidR="00B946C4" w:rsidRPr="00474F27" w:rsidRDefault="00B946C4" w:rsidP="00B946C4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2">
    <w:p w:rsidR="00B946C4" w:rsidRPr="00CA0EB3" w:rsidRDefault="00B946C4" w:rsidP="00B946C4">
      <w:pPr>
        <w:pStyle w:val="Textodenotaderodap"/>
        <w:jc w:val="both"/>
        <w:rPr>
          <w:rFonts w:ascii="Times New Roman" w:hAnsi="Times New Roman" w:cs="Times New Roman"/>
          <w:b/>
          <w:u w:val="single"/>
        </w:rPr>
      </w:pPr>
      <w:r w:rsidRPr="00CA0EB3">
        <w:rPr>
          <w:rStyle w:val="Refdenotaderodap"/>
          <w:rFonts w:ascii="Times New Roman" w:hAnsi="Times New Roman" w:cs="Times New Roman"/>
        </w:rPr>
        <w:footnoteRef/>
      </w:r>
      <w:r w:rsidRPr="00CA0EB3">
        <w:rPr>
          <w:rFonts w:ascii="Times New Roman" w:hAnsi="Times New Roman" w:cs="Times New Roman"/>
        </w:rPr>
        <w:t xml:space="preserve"> </w:t>
      </w:r>
      <w:r w:rsidRPr="00CA0EB3">
        <w:rPr>
          <w:rFonts w:ascii="Times New Roman" w:hAnsi="Times New Roman" w:cs="Times New Roman"/>
          <w:b/>
          <w:u w:val="single"/>
        </w:rPr>
        <w:t>Decreto n° 2473/79 - Regulamento do Processo Administrativo Tributário:</w:t>
      </w:r>
    </w:p>
    <w:p w:rsidR="00B946C4" w:rsidRPr="00CA0EB3" w:rsidRDefault="00B946C4" w:rsidP="00B946C4">
      <w:pPr>
        <w:pStyle w:val="Textodenotaderodap"/>
        <w:jc w:val="both"/>
        <w:rPr>
          <w:rFonts w:ascii="Times New Roman" w:hAnsi="Times New Roman" w:cs="Times New Roman"/>
        </w:rPr>
      </w:pPr>
      <w:r w:rsidRPr="00CA0EB3">
        <w:rPr>
          <w:rFonts w:ascii="Times New Roman" w:hAnsi="Times New Roman" w:cs="Times New Roman"/>
        </w:rPr>
        <w:t>Art. 150 - A consulta sobre matéria tributária é facultada:</w:t>
      </w:r>
    </w:p>
    <w:p w:rsidR="00B946C4" w:rsidRPr="00CA0EB3" w:rsidRDefault="00B946C4" w:rsidP="00B946C4">
      <w:pPr>
        <w:pStyle w:val="Textodenotaderodap"/>
        <w:jc w:val="both"/>
        <w:rPr>
          <w:rFonts w:ascii="Times New Roman" w:hAnsi="Times New Roman" w:cs="Times New Roman"/>
        </w:rPr>
      </w:pPr>
      <w:r w:rsidRPr="00CA0EB3">
        <w:rPr>
          <w:rFonts w:ascii="Times New Roman" w:hAnsi="Times New Roman" w:cs="Times New Roman"/>
        </w:rPr>
        <w:t>I - ao sujeito passivo da obrigação:</w:t>
      </w:r>
    </w:p>
    <w:p w:rsidR="00B946C4" w:rsidRPr="00CA0EB3" w:rsidRDefault="00B946C4" w:rsidP="00B946C4">
      <w:pPr>
        <w:pStyle w:val="Textodenotaderodap"/>
        <w:jc w:val="both"/>
        <w:rPr>
          <w:rFonts w:ascii="Times New Roman" w:hAnsi="Times New Roman" w:cs="Times New Roman"/>
        </w:rPr>
      </w:pPr>
      <w:r w:rsidRPr="00CA0EB3">
        <w:rPr>
          <w:rFonts w:ascii="Times New Roman" w:hAnsi="Times New Roman" w:cs="Times New Roman"/>
        </w:rPr>
        <w:t>II - às entidades representativas de categorias econômicas ou profissionais;</w:t>
      </w:r>
    </w:p>
    <w:p w:rsidR="00B946C4" w:rsidRPr="00CA0EB3" w:rsidRDefault="00B946C4" w:rsidP="00B946C4">
      <w:pPr>
        <w:pStyle w:val="Textodenotaderodap"/>
        <w:jc w:val="both"/>
        <w:rPr>
          <w:rFonts w:ascii="Times New Roman" w:hAnsi="Times New Roman" w:cs="Times New Roman"/>
        </w:rPr>
      </w:pPr>
      <w:r w:rsidRPr="00CA0EB3">
        <w:rPr>
          <w:rFonts w:ascii="Times New Roman" w:hAnsi="Times New Roman" w:cs="Times New Roman"/>
        </w:rPr>
        <w:t>III - aos órgãos da administração pública em geral.</w:t>
      </w:r>
    </w:p>
    <w:p w:rsidR="00B946C4" w:rsidRPr="00CA0EB3" w:rsidRDefault="00B946C4" w:rsidP="00B946C4">
      <w:pPr>
        <w:pStyle w:val="Textodenotaderodap"/>
        <w:jc w:val="both"/>
        <w:rPr>
          <w:rFonts w:ascii="Times New Roman" w:hAnsi="Times New Roman" w:cs="Times New Roman"/>
        </w:rPr>
      </w:pPr>
      <w:r w:rsidRPr="00CA0EB3">
        <w:rPr>
          <w:rFonts w:ascii="Times New Roman" w:hAnsi="Times New Roman" w:cs="Times New Roman"/>
        </w:rPr>
        <w:t>Art. 151 - A consulta deverá ser formulada por escrito, observado o disposto na Seção</w:t>
      </w:r>
      <w:r>
        <w:rPr>
          <w:rFonts w:ascii="Times New Roman" w:hAnsi="Times New Roman" w:cs="Times New Roman"/>
        </w:rPr>
        <w:t xml:space="preserve"> III do Capítulo I, e apresenta</w:t>
      </w:r>
      <w:r w:rsidRPr="00CA0EB3">
        <w:rPr>
          <w:rFonts w:ascii="Times New Roman" w:hAnsi="Times New Roman" w:cs="Times New Roman"/>
        </w:rPr>
        <w:t>da na repartição fiscal a que estiver jurisdicionado o consulente, devidamente acompanhada do comprovante de recolhimento da taxa a que se refere o item 12 do inciso III</w:t>
      </w:r>
      <w:proofErr w:type="gramStart"/>
      <w:r w:rsidRPr="00CA0EB3">
        <w:rPr>
          <w:rFonts w:ascii="Times New Roman" w:hAnsi="Times New Roman" w:cs="Times New Roman"/>
        </w:rPr>
        <w:t xml:space="preserve">  </w:t>
      </w:r>
      <w:proofErr w:type="gramEnd"/>
      <w:r w:rsidRPr="00CA0EB3">
        <w:rPr>
          <w:rFonts w:ascii="Times New Roman" w:hAnsi="Times New Roman" w:cs="Times New Roman"/>
        </w:rPr>
        <w:t>do artigo 107 do Decreto-lei 5/75, com as alterações trazidas pela Lei 2879/97, quando for o caso.</w:t>
      </w:r>
    </w:p>
  </w:footnote>
  <w:footnote w:id="3">
    <w:p w:rsidR="00E66E5D" w:rsidRDefault="00E66E5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Que inclui </w:t>
      </w:r>
      <w:r w:rsidRPr="00831036">
        <w:rPr>
          <w:rFonts w:ascii="Times New Roman" w:hAnsi="Times New Roman" w:cs="Times New Roman"/>
        </w:rPr>
        <w:t>quaisquer produtos descritos no</w:t>
      </w:r>
      <w:r>
        <w:rPr>
          <w:rFonts w:ascii="Times New Roman" w:hAnsi="Times New Roman" w:cs="Times New Roman"/>
        </w:rPr>
        <w:t>s CEST de 06.011.00 a 06.011.07.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C8" w:rsidRDefault="003A24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3CFB1CC3" wp14:editId="088B2EF3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00D90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28551B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3650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2017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E02D16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28551B">
                  <w:rPr>
                    <w:rFonts w:ascii="Times New Roman" w:hAnsi="Times New Roman"/>
                    <w:sz w:val="20"/>
                  </w:rPr>
                  <w:t>14</w:t>
                </w:r>
                <w:r w:rsidR="00614A2A">
                  <w:rPr>
                    <w:rFonts w:ascii="Times New Roman" w:hAnsi="Times New Roman"/>
                    <w:sz w:val="20"/>
                  </w:rPr>
                  <w:t>/</w:t>
                </w:r>
                <w:r w:rsidR="00900D90">
                  <w:rPr>
                    <w:rFonts w:ascii="Times New Roman" w:hAnsi="Times New Roman"/>
                    <w:sz w:val="20"/>
                  </w:rPr>
                  <w:t>0</w:t>
                </w:r>
                <w:r w:rsidR="00E02D16">
                  <w:rPr>
                    <w:rFonts w:ascii="Times New Roman" w:hAnsi="Times New Roman"/>
                    <w:sz w:val="20"/>
                  </w:rPr>
                  <w:t>9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900D90">
                  <w:rPr>
                    <w:rFonts w:ascii="Times New Roman" w:hAnsi="Times New Roman"/>
                    <w:sz w:val="20"/>
                  </w:rPr>
                  <w:t>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3A24C8">
                  <w:rPr>
                    <w:rFonts w:ascii="Times New Roman" w:hAnsi="Times New Roman"/>
                    <w:noProof/>
                    <w:sz w:val="20"/>
                  </w:rPr>
                  <w:t>24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C8" w:rsidRDefault="003A24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7B32"/>
    <w:multiLevelType w:val="hybridMultilevel"/>
    <w:tmpl w:val="896676E4"/>
    <w:lvl w:ilvl="0" w:tplc="872066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A4DAB"/>
    <w:multiLevelType w:val="hybridMultilevel"/>
    <w:tmpl w:val="0D8E78E4"/>
    <w:lvl w:ilvl="0" w:tplc="01EC3D4C">
      <w:start w:val="1"/>
      <w:numFmt w:val="lowerLetter"/>
      <w:lvlText w:val="%1)"/>
      <w:lvlJc w:val="left"/>
      <w:pPr>
        <w:ind w:left="142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24"/>
  </w:num>
  <w:num w:numId="5">
    <w:abstractNumId w:val="1"/>
  </w:num>
  <w:num w:numId="6">
    <w:abstractNumId w:val="0"/>
  </w:num>
  <w:num w:numId="7">
    <w:abstractNumId w:val="21"/>
  </w:num>
  <w:num w:numId="8">
    <w:abstractNumId w:val="18"/>
  </w:num>
  <w:num w:numId="9">
    <w:abstractNumId w:val="26"/>
  </w:num>
  <w:num w:numId="10">
    <w:abstractNumId w:val="6"/>
  </w:num>
  <w:num w:numId="11">
    <w:abstractNumId w:val="7"/>
  </w:num>
  <w:num w:numId="12">
    <w:abstractNumId w:val="25"/>
  </w:num>
  <w:num w:numId="13">
    <w:abstractNumId w:val="19"/>
  </w:num>
  <w:num w:numId="14">
    <w:abstractNumId w:val="32"/>
  </w:num>
  <w:num w:numId="15">
    <w:abstractNumId w:val="3"/>
  </w:num>
  <w:num w:numId="16">
    <w:abstractNumId w:val="16"/>
  </w:num>
  <w:num w:numId="17">
    <w:abstractNumId w:val="2"/>
  </w:num>
  <w:num w:numId="18">
    <w:abstractNumId w:val="5"/>
  </w:num>
  <w:num w:numId="19">
    <w:abstractNumId w:val="12"/>
  </w:num>
  <w:num w:numId="20">
    <w:abstractNumId w:val="31"/>
  </w:num>
  <w:num w:numId="21">
    <w:abstractNumId w:val="11"/>
  </w:num>
  <w:num w:numId="22">
    <w:abstractNumId w:val="14"/>
  </w:num>
  <w:num w:numId="23">
    <w:abstractNumId w:val="9"/>
  </w:num>
  <w:num w:numId="24">
    <w:abstractNumId w:val="29"/>
  </w:num>
  <w:num w:numId="25">
    <w:abstractNumId w:val="30"/>
  </w:num>
  <w:num w:numId="26">
    <w:abstractNumId w:val="8"/>
  </w:num>
  <w:num w:numId="27">
    <w:abstractNumId w:val="28"/>
  </w:num>
  <w:num w:numId="28">
    <w:abstractNumId w:val="15"/>
  </w:num>
  <w:num w:numId="29">
    <w:abstractNumId w:val="4"/>
  </w:num>
  <w:num w:numId="30">
    <w:abstractNumId w:val="20"/>
  </w:num>
  <w:num w:numId="31">
    <w:abstractNumId w:val="27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07209"/>
    <w:rsid w:val="0001096A"/>
    <w:rsid w:val="00010B56"/>
    <w:rsid w:val="00011DE4"/>
    <w:rsid w:val="00017B17"/>
    <w:rsid w:val="0002389A"/>
    <w:rsid w:val="00024BD2"/>
    <w:rsid w:val="000256A6"/>
    <w:rsid w:val="000267DA"/>
    <w:rsid w:val="0003044A"/>
    <w:rsid w:val="00042A24"/>
    <w:rsid w:val="00050125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A7488"/>
    <w:rsid w:val="000B2CBC"/>
    <w:rsid w:val="000C0F80"/>
    <w:rsid w:val="000C115B"/>
    <w:rsid w:val="000C2BAA"/>
    <w:rsid w:val="000C3A53"/>
    <w:rsid w:val="000C474C"/>
    <w:rsid w:val="000C5196"/>
    <w:rsid w:val="000C5495"/>
    <w:rsid w:val="000C7B63"/>
    <w:rsid w:val="000D4E46"/>
    <w:rsid w:val="000D6809"/>
    <w:rsid w:val="000D6F55"/>
    <w:rsid w:val="000F0B4A"/>
    <w:rsid w:val="000F30B1"/>
    <w:rsid w:val="000F4FB2"/>
    <w:rsid w:val="000F63EE"/>
    <w:rsid w:val="000F6CE3"/>
    <w:rsid w:val="00111ED2"/>
    <w:rsid w:val="0012330B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439C"/>
    <w:rsid w:val="00156B62"/>
    <w:rsid w:val="00157300"/>
    <w:rsid w:val="00160495"/>
    <w:rsid w:val="00161EA1"/>
    <w:rsid w:val="00163E34"/>
    <w:rsid w:val="00166FDB"/>
    <w:rsid w:val="001760E5"/>
    <w:rsid w:val="0017649F"/>
    <w:rsid w:val="0018777E"/>
    <w:rsid w:val="001A0157"/>
    <w:rsid w:val="001B06CE"/>
    <w:rsid w:val="001C1D79"/>
    <w:rsid w:val="001C7B3E"/>
    <w:rsid w:val="001D4EF6"/>
    <w:rsid w:val="001E4026"/>
    <w:rsid w:val="001E4F56"/>
    <w:rsid w:val="001F309B"/>
    <w:rsid w:val="001F3956"/>
    <w:rsid w:val="001F3F43"/>
    <w:rsid w:val="001F7132"/>
    <w:rsid w:val="00200FD0"/>
    <w:rsid w:val="002053BC"/>
    <w:rsid w:val="0020592B"/>
    <w:rsid w:val="00210225"/>
    <w:rsid w:val="00211B79"/>
    <w:rsid w:val="002124DC"/>
    <w:rsid w:val="00212AD2"/>
    <w:rsid w:val="00216AA2"/>
    <w:rsid w:val="00217892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632"/>
    <w:rsid w:val="002667C0"/>
    <w:rsid w:val="0027739B"/>
    <w:rsid w:val="00277CB4"/>
    <w:rsid w:val="00280987"/>
    <w:rsid w:val="002827AA"/>
    <w:rsid w:val="0028490E"/>
    <w:rsid w:val="0028551B"/>
    <w:rsid w:val="00286428"/>
    <w:rsid w:val="00287AE7"/>
    <w:rsid w:val="00296DAB"/>
    <w:rsid w:val="00296FE0"/>
    <w:rsid w:val="002A3F1C"/>
    <w:rsid w:val="002A4C9B"/>
    <w:rsid w:val="002A580B"/>
    <w:rsid w:val="002B25A7"/>
    <w:rsid w:val="002B2A2D"/>
    <w:rsid w:val="002B71CC"/>
    <w:rsid w:val="002B74A0"/>
    <w:rsid w:val="002C092A"/>
    <w:rsid w:val="002C2F26"/>
    <w:rsid w:val="002C6F01"/>
    <w:rsid w:val="002C7904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519F"/>
    <w:rsid w:val="003176B7"/>
    <w:rsid w:val="00324175"/>
    <w:rsid w:val="0033143F"/>
    <w:rsid w:val="003323FF"/>
    <w:rsid w:val="003348FF"/>
    <w:rsid w:val="003453A9"/>
    <w:rsid w:val="00350AA3"/>
    <w:rsid w:val="00350DC5"/>
    <w:rsid w:val="0035322A"/>
    <w:rsid w:val="00355B36"/>
    <w:rsid w:val="00360C1E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10D2"/>
    <w:rsid w:val="003A24C8"/>
    <w:rsid w:val="003C2B81"/>
    <w:rsid w:val="003C3FF2"/>
    <w:rsid w:val="003C74CE"/>
    <w:rsid w:val="003D541D"/>
    <w:rsid w:val="003D672A"/>
    <w:rsid w:val="003E2C18"/>
    <w:rsid w:val="003E5196"/>
    <w:rsid w:val="003E541C"/>
    <w:rsid w:val="003E5502"/>
    <w:rsid w:val="003E5ED9"/>
    <w:rsid w:val="003E6174"/>
    <w:rsid w:val="003E7B30"/>
    <w:rsid w:val="003E7E19"/>
    <w:rsid w:val="00400C16"/>
    <w:rsid w:val="004047D7"/>
    <w:rsid w:val="00404875"/>
    <w:rsid w:val="004074C6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1356"/>
    <w:rsid w:val="0044157F"/>
    <w:rsid w:val="00441AA8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4F27"/>
    <w:rsid w:val="0047613C"/>
    <w:rsid w:val="00480304"/>
    <w:rsid w:val="00481E33"/>
    <w:rsid w:val="00481F61"/>
    <w:rsid w:val="00482136"/>
    <w:rsid w:val="00482C57"/>
    <w:rsid w:val="00483017"/>
    <w:rsid w:val="00484878"/>
    <w:rsid w:val="0048749A"/>
    <w:rsid w:val="00487A3A"/>
    <w:rsid w:val="00495DD6"/>
    <w:rsid w:val="004A02C8"/>
    <w:rsid w:val="004A40D0"/>
    <w:rsid w:val="004A5EFB"/>
    <w:rsid w:val="004A6BD1"/>
    <w:rsid w:val="004B1244"/>
    <w:rsid w:val="004C09C0"/>
    <w:rsid w:val="004C1EB5"/>
    <w:rsid w:val="004C2776"/>
    <w:rsid w:val="004D0B04"/>
    <w:rsid w:val="004D2984"/>
    <w:rsid w:val="004D3BD9"/>
    <w:rsid w:val="004D5651"/>
    <w:rsid w:val="004E224D"/>
    <w:rsid w:val="004E2759"/>
    <w:rsid w:val="004E6506"/>
    <w:rsid w:val="004E6C16"/>
    <w:rsid w:val="004F17F9"/>
    <w:rsid w:val="004F389A"/>
    <w:rsid w:val="004F5CBF"/>
    <w:rsid w:val="004F7719"/>
    <w:rsid w:val="00506358"/>
    <w:rsid w:val="0051020C"/>
    <w:rsid w:val="00511D0E"/>
    <w:rsid w:val="00515D0B"/>
    <w:rsid w:val="0051768F"/>
    <w:rsid w:val="005220FC"/>
    <w:rsid w:val="00524448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EC0"/>
    <w:rsid w:val="00553A37"/>
    <w:rsid w:val="00555312"/>
    <w:rsid w:val="00555F86"/>
    <w:rsid w:val="005578E8"/>
    <w:rsid w:val="005707CA"/>
    <w:rsid w:val="0057103A"/>
    <w:rsid w:val="00571C8F"/>
    <w:rsid w:val="00576F1D"/>
    <w:rsid w:val="00580CEF"/>
    <w:rsid w:val="00584223"/>
    <w:rsid w:val="0058434E"/>
    <w:rsid w:val="00584587"/>
    <w:rsid w:val="005860DD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74E9"/>
    <w:rsid w:val="005C2A97"/>
    <w:rsid w:val="005C5FC9"/>
    <w:rsid w:val="005D094C"/>
    <w:rsid w:val="005D2324"/>
    <w:rsid w:val="005D4BF2"/>
    <w:rsid w:val="005D4F5C"/>
    <w:rsid w:val="005E14DA"/>
    <w:rsid w:val="005E6D2B"/>
    <w:rsid w:val="005E7A38"/>
    <w:rsid w:val="005F26B5"/>
    <w:rsid w:val="005F47B6"/>
    <w:rsid w:val="005F55C3"/>
    <w:rsid w:val="006001F3"/>
    <w:rsid w:val="006022EA"/>
    <w:rsid w:val="00602B62"/>
    <w:rsid w:val="006045F6"/>
    <w:rsid w:val="00611FDB"/>
    <w:rsid w:val="00614A2A"/>
    <w:rsid w:val="00616D6F"/>
    <w:rsid w:val="0062063D"/>
    <w:rsid w:val="006239D5"/>
    <w:rsid w:val="006251E1"/>
    <w:rsid w:val="0063619B"/>
    <w:rsid w:val="006406C8"/>
    <w:rsid w:val="00641435"/>
    <w:rsid w:val="00642FBD"/>
    <w:rsid w:val="006449F8"/>
    <w:rsid w:val="00651CCF"/>
    <w:rsid w:val="006531D6"/>
    <w:rsid w:val="0065393E"/>
    <w:rsid w:val="00654C1A"/>
    <w:rsid w:val="00655358"/>
    <w:rsid w:val="006637B6"/>
    <w:rsid w:val="0066751B"/>
    <w:rsid w:val="00677B5B"/>
    <w:rsid w:val="00681C11"/>
    <w:rsid w:val="00681E8C"/>
    <w:rsid w:val="00686534"/>
    <w:rsid w:val="00691383"/>
    <w:rsid w:val="006A2586"/>
    <w:rsid w:val="006A270F"/>
    <w:rsid w:val="006A2B77"/>
    <w:rsid w:val="006A3E5C"/>
    <w:rsid w:val="006A7B09"/>
    <w:rsid w:val="006B0166"/>
    <w:rsid w:val="006B1F43"/>
    <w:rsid w:val="006C0215"/>
    <w:rsid w:val="006C061B"/>
    <w:rsid w:val="006C22B0"/>
    <w:rsid w:val="006C2B14"/>
    <w:rsid w:val="006C3810"/>
    <w:rsid w:val="006C7EA7"/>
    <w:rsid w:val="006D3064"/>
    <w:rsid w:val="006D3BD2"/>
    <w:rsid w:val="006E722E"/>
    <w:rsid w:val="006E73A4"/>
    <w:rsid w:val="006F06F0"/>
    <w:rsid w:val="006F371B"/>
    <w:rsid w:val="006F6F46"/>
    <w:rsid w:val="006F7473"/>
    <w:rsid w:val="006F7509"/>
    <w:rsid w:val="00705276"/>
    <w:rsid w:val="0070598D"/>
    <w:rsid w:val="00723073"/>
    <w:rsid w:val="0072317C"/>
    <w:rsid w:val="00726138"/>
    <w:rsid w:val="0073615C"/>
    <w:rsid w:val="0074027D"/>
    <w:rsid w:val="00744CFD"/>
    <w:rsid w:val="00745EA1"/>
    <w:rsid w:val="0075364B"/>
    <w:rsid w:val="00755452"/>
    <w:rsid w:val="007637EC"/>
    <w:rsid w:val="0076675D"/>
    <w:rsid w:val="0077111D"/>
    <w:rsid w:val="00773AC1"/>
    <w:rsid w:val="00774EE0"/>
    <w:rsid w:val="007760F0"/>
    <w:rsid w:val="00784FE7"/>
    <w:rsid w:val="0078718B"/>
    <w:rsid w:val="007908DA"/>
    <w:rsid w:val="007A3336"/>
    <w:rsid w:val="007A59E8"/>
    <w:rsid w:val="007B05BC"/>
    <w:rsid w:val="007B127A"/>
    <w:rsid w:val="007B5E6E"/>
    <w:rsid w:val="007B600B"/>
    <w:rsid w:val="007D43AF"/>
    <w:rsid w:val="007E0EB0"/>
    <w:rsid w:val="007E1437"/>
    <w:rsid w:val="007E33A3"/>
    <w:rsid w:val="007F4788"/>
    <w:rsid w:val="00802458"/>
    <w:rsid w:val="00802806"/>
    <w:rsid w:val="00805A34"/>
    <w:rsid w:val="008066EF"/>
    <w:rsid w:val="0080683B"/>
    <w:rsid w:val="00811976"/>
    <w:rsid w:val="00813986"/>
    <w:rsid w:val="008142A2"/>
    <w:rsid w:val="00815AF9"/>
    <w:rsid w:val="00820383"/>
    <w:rsid w:val="00820B31"/>
    <w:rsid w:val="00821B5B"/>
    <w:rsid w:val="00822FC1"/>
    <w:rsid w:val="00825B85"/>
    <w:rsid w:val="00825D6E"/>
    <w:rsid w:val="00826E19"/>
    <w:rsid w:val="008272CF"/>
    <w:rsid w:val="00827ABA"/>
    <w:rsid w:val="00831036"/>
    <w:rsid w:val="00831216"/>
    <w:rsid w:val="0083341E"/>
    <w:rsid w:val="00834E93"/>
    <w:rsid w:val="00843CCE"/>
    <w:rsid w:val="00844E38"/>
    <w:rsid w:val="008457C5"/>
    <w:rsid w:val="0084664A"/>
    <w:rsid w:val="008505C6"/>
    <w:rsid w:val="008633F9"/>
    <w:rsid w:val="008662EA"/>
    <w:rsid w:val="008707A4"/>
    <w:rsid w:val="00870982"/>
    <w:rsid w:val="00874337"/>
    <w:rsid w:val="008876B4"/>
    <w:rsid w:val="0089000F"/>
    <w:rsid w:val="0089032B"/>
    <w:rsid w:val="0089083E"/>
    <w:rsid w:val="00894992"/>
    <w:rsid w:val="008963F1"/>
    <w:rsid w:val="008968DF"/>
    <w:rsid w:val="008A0B21"/>
    <w:rsid w:val="008A6FD7"/>
    <w:rsid w:val="008B0AB4"/>
    <w:rsid w:val="008B1870"/>
    <w:rsid w:val="008B2817"/>
    <w:rsid w:val="008B6773"/>
    <w:rsid w:val="008B7E52"/>
    <w:rsid w:val="008C378C"/>
    <w:rsid w:val="008C5BDE"/>
    <w:rsid w:val="008C6621"/>
    <w:rsid w:val="008D0CD7"/>
    <w:rsid w:val="008D3AF0"/>
    <w:rsid w:val="008D3F8D"/>
    <w:rsid w:val="008D4306"/>
    <w:rsid w:val="008D60DE"/>
    <w:rsid w:val="008D692B"/>
    <w:rsid w:val="008E02BC"/>
    <w:rsid w:val="008E188A"/>
    <w:rsid w:val="008E52FD"/>
    <w:rsid w:val="008E7D29"/>
    <w:rsid w:val="008F3D1E"/>
    <w:rsid w:val="008F47CB"/>
    <w:rsid w:val="008F716D"/>
    <w:rsid w:val="00900D90"/>
    <w:rsid w:val="009022FB"/>
    <w:rsid w:val="009114C8"/>
    <w:rsid w:val="00913262"/>
    <w:rsid w:val="009155C7"/>
    <w:rsid w:val="00917640"/>
    <w:rsid w:val="00917DDE"/>
    <w:rsid w:val="0092139C"/>
    <w:rsid w:val="009276B5"/>
    <w:rsid w:val="0093290E"/>
    <w:rsid w:val="00934406"/>
    <w:rsid w:val="00934E4E"/>
    <w:rsid w:val="00935545"/>
    <w:rsid w:val="009371CE"/>
    <w:rsid w:val="009409F8"/>
    <w:rsid w:val="00951E1D"/>
    <w:rsid w:val="0095280C"/>
    <w:rsid w:val="009613BD"/>
    <w:rsid w:val="009659AE"/>
    <w:rsid w:val="00966252"/>
    <w:rsid w:val="00967F3A"/>
    <w:rsid w:val="009774EC"/>
    <w:rsid w:val="009860E1"/>
    <w:rsid w:val="00987CE9"/>
    <w:rsid w:val="00994540"/>
    <w:rsid w:val="009A34BE"/>
    <w:rsid w:val="009A4E8D"/>
    <w:rsid w:val="009B11AE"/>
    <w:rsid w:val="009B162D"/>
    <w:rsid w:val="009B37D2"/>
    <w:rsid w:val="009C05C0"/>
    <w:rsid w:val="009C1581"/>
    <w:rsid w:val="009C2B3E"/>
    <w:rsid w:val="009C4927"/>
    <w:rsid w:val="009C4F3D"/>
    <w:rsid w:val="009C52C7"/>
    <w:rsid w:val="009C69E2"/>
    <w:rsid w:val="009D1501"/>
    <w:rsid w:val="009D3FA6"/>
    <w:rsid w:val="009D5FA8"/>
    <w:rsid w:val="009E2E6B"/>
    <w:rsid w:val="009E78BF"/>
    <w:rsid w:val="009F4CBE"/>
    <w:rsid w:val="009F6AAA"/>
    <w:rsid w:val="009F7C34"/>
    <w:rsid w:val="009F7DF5"/>
    <w:rsid w:val="00A00A93"/>
    <w:rsid w:val="00A03301"/>
    <w:rsid w:val="00A0491B"/>
    <w:rsid w:val="00A054C6"/>
    <w:rsid w:val="00A068DA"/>
    <w:rsid w:val="00A125EC"/>
    <w:rsid w:val="00A14030"/>
    <w:rsid w:val="00A1752D"/>
    <w:rsid w:val="00A250C7"/>
    <w:rsid w:val="00A257C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5220F"/>
    <w:rsid w:val="00A617F9"/>
    <w:rsid w:val="00A64BA9"/>
    <w:rsid w:val="00A73758"/>
    <w:rsid w:val="00A73790"/>
    <w:rsid w:val="00A73B7E"/>
    <w:rsid w:val="00A75493"/>
    <w:rsid w:val="00A75A0C"/>
    <w:rsid w:val="00A7692F"/>
    <w:rsid w:val="00A81641"/>
    <w:rsid w:val="00A964F7"/>
    <w:rsid w:val="00A96869"/>
    <w:rsid w:val="00AA3212"/>
    <w:rsid w:val="00AB04BB"/>
    <w:rsid w:val="00AB16B2"/>
    <w:rsid w:val="00AB4310"/>
    <w:rsid w:val="00AB595F"/>
    <w:rsid w:val="00AC0641"/>
    <w:rsid w:val="00AC1258"/>
    <w:rsid w:val="00AC53FD"/>
    <w:rsid w:val="00AD3421"/>
    <w:rsid w:val="00AD363A"/>
    <w:rsid w:val="00AD3B79"/>
    <w:rsid w:val="00AD472A"/>
    <w:rsid w:val="00AD6ABB"/>
    <w:rsid w:val="00AE055F"/>
    <w:rsid w:val="00AE09A4"/>
    <w:rsid w:val="00AE363D"/>
    <w:rsid w:val="00AE79A5"/>
    <w:rsid w:val="00B07410"/>
    <w:rsid w:val="00B10233"/>
    <w:rsid w:val="00B139A3"/>
    <w:rsid w:val="00B17E86"/>
    <w:rsid w:val="00B17EFE"/>
    <w:rsid w:val="00B20DFA"/>
    <w:rsid w:val="00B26E15"/>
    <w:rsid w:val="00B27C17"/>
    <w:rsid w:val="00B33AB1"/>
    <w:rsid w:val="00B4364F"/>
    <w:rsid w:val="00B44136"/>
    <w:rsid w:val="00B44F93"/>
    <w:rsid w:val="00B45593"/>
    <w:rsid w:val="00B516C8"/>
    <w:rsid w:val="00B5458D"/>
    <w:rsid w:val="00B5604B"/>
    <w:rsid w:val="00B60C32"/>
    <w:rsid w:val="00B6462F"/>
    <w:rsid w:val="00B85E55"/>
    <w:rsid w:val="00B86A42"/>
    <w:rsid w:val="00B9235C"/>
    <w:rsid w:val="00B93315"/>
    <w:rsid w:val="00B946C4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B416F"/>
    <w:rsid w:val="00BC215E"/>
    <w:rsid w:val="00BD4049"/>
    <w:rsid w:val="00BD46B7"/>
    <w:rsid w:val="00BD71E3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2B87"/>
    <w:rsid w:val="00C038BF"/>
    <w:rsid w:val="00C0527F"/>
    <w:rsid w:val="00C05E35"/>
    <w:rsid w:val="00C1339D"/>
    <w:rsid w:val="00C14A84"/>
    <w:rsid w:val="00C156F7"/>
    <w:rsid w:val="00C225D1"/>
    <w:rsid w:val="00C227A4"/>
    <w:rsid w:val="00C22D11"/>
    <w:rsid w:val="00C25557"/>
    <w:rsid w:val="00C25ED8"/>
    <w:rsid w:val="00C266EE"/>
    <w:rsid w:val="00C33672"/>
    <w:rsid w:val="00C421BC"/>
    <w:rsid w:val="00C43A2C"/>
    <w:rsid w:val="00C46898"/>
    <w:rsid w:val="00C46AEA"/>
    <w:rsid w:val="00C50939"/>
    <w:rsid w:val="00C54A26"/>
    <w:rsid w:val="00C572BB"/>
    <w:rsid w:val="00C611FC"/>
    <w:rsid w:val="00C660AA"/>
    <w:rsid w:val="00C70E60"/>
    <w:rsid w:val="00C7352B"/>
    <w:rsid w:val="00C7405E"/>
    <w:rsid w:val="00C80334"/>
    <w:rsid w:val="00C81F55"/>
    <w:rsid w:val="00C84107"/>
    <w:rsid w:val="00C90806"/>
    <w:rsid w:val="00CA35F7"/>
    <w:rsid w:val="00CA5CAF"/>
    <w:rsid w:val="00CB1132"/>
    <w:rsid w:val="00CB230E"/>
    <w:rsid w:val="00CB3C04"/>
    <w:rsid w:val="00CB482A"/>
    <w:rsid w:val="00CB72D4"/>
    <w:rsid w:val="00CB7F75"/>
    <w:rsid w:val="00CC1EA7"/>
    <w:rsid w:val="00CC319B"/>
    <w:rsid w:val="00CD222C"/>
    <w:rsid w:val="00CD24BB"/>
    <w:rsid w:val="00CD274E"/>
    <w:rsid w:val="00CD2AFD"/>
    <w:rsid w:val="00CD585F"/>
    <w:rsid w:val="00CD77A2"/>
    <w:rsid w:val="00CE0017"/>
    <w:rsid w:val="00CE2D21"/>
    <w:rsid w:val="00CE468D"/>
    <w:rsid w:val="00CF03FA"/>
    <w:rsid w:val="00CF3460"/>
    <w:rsid w:val="00CF3D40"/>
    <w:rsid w:val="00D02940"/>
    <w:rsid w:val="00D038E4"/>
    <w:rsid w:val="00D05DB2"/>
    <w:rsid w:val="00D13A70"/>
    <w:rsid w:val="00D27354"/>
    <w:rsid w:val="00D32712"/>
    <w:rsid w:val="00D454A2"/>
    <w:rsid w:val="00D45999"/>
    <w:rsid w:val="00D45F53"/>
    <w:rsid w:val="00D46DE1"/>
    <w:rsid w:val="00D47680"/>
    <w:rsid w:val="00D5179E"/>
    <w:rsid w:val="00D53045"/>
    <w:rsid w:val="00D56D2E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9577E"/>
    <w:rsid w:val="00DA1955"/>
    <w:rsid w:val="00DA5810"/>
    <w:rsid w:val="00DA74F3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F4268"/>
    <w:rsid w:val="00DF4525"/>
    <w:rsid w:val="00DF7D22"/>
    <w:rsid w:val="00DF7DB5"/>
    <w:rsid w:val="00E002BA"/>
    <w:rsid w:val="00E01A2C"/>
    <w:rsid w:val="00E01F2A"/>
    <w:rsid w:val="00E02D16"/>
    <w:rsid w:val="00E05F51"/>
    <w:rsid w:val="00E21488"/>
    <w:rsid w:val="00E253A2"/>
    <w:rsid w:val="00E27221"/>
    <w:rsid w:val="00E35DC8"/>
    <w:rsid w:val="00E35E8B"/>
    <w:rsid w:val="00E3758B"/>
    <w:rsid w:val="00E4196B"/>
    <w:rsid w:val="00E45440"/>
    <w:rsid w:val="00E4634E"/>
    <w:rsid w:val="00E56B5C"/>
    <w:rsid w:val="00E65EDD"/>
    <w:rsid w:val="00E66E5D"/>
    <w:rsid w:val="00E71856"/>
    <w:rsid w:val="00E71EFB"/>
    <w:rsid w:val="00E7570E"/>
    <w:rsid w:val="00E772AF"/>
    <w:rsid w:val="00E81541"/>
    <w:rsid w:val="00E83CAB"/>
    <w:rsid w:val="00E86525"/>
    <w:rsid w:val="00E90A54"/>
    <w:rsid w:val="00EA0C3B"/>
    <w:rsid w:val="00EB10C1"/>
    <w:rsid w:val="00EC6B66"/>
    <w:rsid w:val="00ED11CA"/>
    <w:rsid w:val="00ED5C7B"/>
    <w:rsid w:val="00ED65F3"/>
    <w:rsid w:val="00EE3A31"/>
    <w:rsid w:val="00EF09F1"/>
    <w:rsid w:val="00EF0A36"/>
    <w:rsid w:val="00EF16C7"/>
    <w:rsid w:val="00EF1B6C"/>
    <w:rsid w:val="00EF46AB"/>
    <w:rsid w:val="00EF6A90"/>
    <w:rsid w:val="00F00CAB"/>
    <w:rsid w:val="00F12D6E"/>
    <w:rsid w:val="00F13D78"/>
    <w:rsid w:val="00F15CFA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81ECB"/>
    <w:rsid w:val="00F852CC"/>
    <w:rsid w:val="00F85829"/>
    <w:rsid w:val="00F86609"/>
    <w:rsid w:val="00F90A4C"/>
    <w:rsid w:val="00F90B6F"/>
    <w:rsid w:val="00F90C3A"/>
    <w:rsid w:val="00F968E2"/>
    <w:rsid w:val="00FA0FAA"/>
    <w:rsid w:val="00FA1604"/>
    <w:rsid w:val="00FA36A8"/>
    <w:rsid w:val="00FA6742"/>
    <w:rsid w:val="00FB355E"/>
    <w:rsid w:val="00FB4530"/>
    <w:rsid w:val="00FB5812"/>
    <w:rsid w:val="00FB5F28"/>
    <w:rsid w:val="00FB7311"/>
    <w:rsid w:val="00FD3260"/>
    <w:rsid w:val="00FD4116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B0DC-DF3D-46E7-9474-187968F5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2</cp:revision>
  <cp:lastPrinted>2017-11-27T19:20:00Z</cp:lastPrinted>
  <dcterms:created xsi:type="dcterms:W3CDTF">2018-01-10T17:06:00Z</dcterms:created>
  <dcterms:modified xsi:type="dcterms:W3CDTF">2018-01-10T17:06:00Z</dcterms:modified>
</cp:coreProperties>
</file>