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011AF2" w:rsidTr="008C5921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011AF2" w:rsidRDefault="005D4761" w:rsidP="003D0E5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E6082B" w:rsidRDefault="00251E93" w:rsidP="00E6082B">
            <w:pPr>
              <w:keepLines/>
              <w:widowControl w:val="0"/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QUESTIONAMENTOS SOBRE CONSULTA ANTERIOR PROCESSO</w:t>
            </w:r>
          </w:p>
          <w:p w:rsidR="00251E93" w:rsidRPr="00011AF2" w:rsidRDefault="00251E93" w:rsidP="00AB5ACD">
            <w:pPr>
              <w:keepLines/>
              <w:widowControl w:val="0"/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E04/017/482/2016 – BENEFÍCIOS </w:t>
            </w:r>
            <w:r w:rsidR="002753D0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DECRETO </w:t>
            </w:r>
            <w:r w:rsidR="00AB5AC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nº.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42.649/2010</w:t>
            </w:r>
          </w:p>
        </w:tc>
      </w:tr>
    </w:tbl>
    <w:p w:rsidR="00183D0D" w:rsidRDefault="00183D0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5D4761" w:rsidRPr="00011AF2" w:rsidRDefault="00C43103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</w:t>
      </w:r>
      <w:r w:rsidR="00D72061">
        <w:rPr>
          <w:rFonts w:ascii="Times New Roman" w:hAnsi="Times New Roman" w:cs="Times New Roman"/>
          <w:b/>
          <w:smallCaps/>
        </w:rPr>
        <w:t xml:space="preserve">  </w:t>
      </w:r>
      <w:r>
        <w:rPr>
          <w:rFonts w:ascii="Times New Roman" w:hAnsi="Times New Roman" w:cs="Times New Roman"/>
          <w:b/>
          <w:smallCaps/>
        </w:rPr>
        <w:t xml:space="preserve">   </w:t>
      </w:r>
      <w:r w:rsidR="00A231DF" w:rsidRPr="00011AF2">
        <w:rPr>
          <w:rFonts w:ascii="Times New Roman" w:hAnsi="Times New Roman" w:cs="Times New Roman"/>
          <w:b/>
          <w:smallCaps/>
        </w:rPr>
        <w:t>Con</w:t>
      </w:r>
      <w:bookmarkStart w:id="0" w:name="_GoBack"/>
      <w:bookmarkEnd w:id="0"/>
      <w:r w:rsidR="00A231DF" w:rsidRPr="00011AF2">
        <w:rPr>
          <w:rFonts w:ascii="Times New Roman" w:hAnsi="Times New Roman" w:cs="Times New Roman"/>
          <w:b/>
          <w:smallCaps/>
        </w:rPr>
        <w:t xml:space="preserve">sulta </w:t>
      </w:r>
      <w:r w:rsidR="0026316D" w:rsidRPr="00011AF2">
        <w:rPr>
          <w:rFonts w:ascii="Times New Roman" w:hAnsi="Times New Roman" w:cs="Times New Roman"/>
          <w:b/>
          <w:smallCaps/>
        </w:rPr>
        <w:t xml:space="preserve">nº    </w:t>
      </w:r>
      <w:r w:rsidR="00A231DF">
        <w:rPr>
          <w:rFonts w:ascii="Times New Roman" w:hAnsi="Times New Roman" w:cs="Times New Roman"/>
          <w:b/>
          <w:smallCaps/>
        </w:rPr>
        <w:t>143</w:t>
      </w:r>
      <w:r w:rsidR="0026316D"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D72061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D72061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51E93" w:rsidRDefault="00B62E26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A3DAA">
        <w:rPr>
          <w:rFonts w:ascii="Times New Roman" w:eastAsia="Times New Roman" w:hAnsi="Times New Roman" w:cs="Times New Roman"/>
          <w:lang w:eastAsia="ar-SA"/>
        </w:rPr>
        <w:t>A empresa consulente</w:t>
      </w:r>
      <w:r w:rsidR="00A231D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A3DAA">
        <w:rPr>
          <w:rFonts w:ascii="Times New Roman" w:eastAsia="Times New Roman" w:hAnsi="Times New Roman" w:cs="Times New Roman"/>
          <w:lang w:eastAsia="ar-SA"/>
        </w:rPr>
        <w:t xml:space="preserve">vem solicitar </w:t>
      </w:r>
      <w:r w:rsidR="00251E93">
        <w:rPr>
          <w:rFonts w:ascii="Times New Roman" w:eastAsia="Times New Roman" w:hAnsi="Times New Roman" w:cs="Times New Roman"/>
          <w:lang w:eastAsia="ar-SA"/>
        </w:rPr>
        <w:t xml:space="preserve">esclarecimentos </w:t>
      </w:r>
      <w:r w:rsidRPr="009A3DAA">
        <w:rPr>
          <w:rFonts w:ascii="Times New Roman" w:eastAsia="Times New Roman" w:hAnsi="Times New Roman" w:cs="Times New Roman"/>
          <w:lang w:eastAsia="ar-SA"/>
        </w:rPr>
        <w:t>desta Superintend</w:t>
      </w:r>
      <w:r w:rsidR="00C43103" w:rsidRPr="009A3DAA">
        <w:rPr>
          <w:rFonts w:ascii="Times New Roman" w:eastAsia="Times New Roman" w:hAnsi="Times New Roman" w:cs="Times New Roman"/>
          <w:lang w:eastAsia="ar-SA"/>
        </w:rPr>
        <w:t>ê</w:t>
      </w:r>
      <w:r w:rsidRPr="009A3DAA">
        <w:rPr>
          <w:rFonts w:ascii="Times New Roman" w:eastAsia="Times New Roman" w:hAnsi="Times New Roman" w:cs="Times New Roman"/>
          <w:lang w:eastAsia="ar-SA"/>
        </w:rPr>
        <w:t>ncia de Tributação a cerca</w:t>
      </w:r>
      <w:r w:rsidR="00251E93">
        <w:rPr>
          <w:rFonts w:ascii="Times New Roman" w:eastAsia="Times New Roman" w:hAnsi="Times New Roman" w:cs="Times New Roman"/>
          <w:lang w:eastAsia="ar-SA"/>
        </w:rPr>
        <w:t xml:space="preserve"> da resposta à Consulta Tributária nº 64/2016, oriunda do Processo E/04/017/482/2016, em especial quanto ao benefício permitido pelo Inciso V do artigo 6º do Decreto</w:t>
      </w:r>
      <w:r w:rsidR="00AB5ACD">
        <w:rPr>
          <w:rFonts w:ascii="Times New Roman" w:eastAsia="Times New Roman" w:hAnsi="Times New Roman" w:cs="Times New Roman"/>
          <w:lang w:eastAsia="ar-SA"/>
        </w:rPr>
        <w:t xml:space="preserve"> nº. 42.649/2010</w:t>
      </w:r>
      <w:r w:rsidR="00251E93">
        <w:rPr>
          <w:rFonts w:ascii="Times New Roman" w:eastAsia="Times New Roman" w:hAnsi="Times New Roman" w:cs="Times New Roman"/>
          <w:lang w:eastAsia="ar-SA"/>
        </w:rPr>
        <w:t>.</w:t>
      </w:r>
    </w:p>
    <w:p w:rsidR="00251E93" w:rsidRDefault="00251E93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35818" w:rsidRDefault="00F35818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</w:t>
      </w:r>
      <w:r>
        <w:rPr>
          <w:rFonts w:ascii="Times New Roman" w:eastAsia="Times New Roman" w:hAnsi="Times New Roman" w:cs="Times New Roman"/>
          <w:lang w:eastAsia="ar-SA"/>
        </w:rPr>
        <w:t xml:space="preserve"> para 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</w:t>
      </w:r>
      <w:r>
        <w:rPr>
          <w:rFonts w:ascii="Times New Roman" w:eastAsia="Times New Roman" w:hAnsi="Times New Roman" w:cs="Times New Roman"/>
          <w:lang w:eastAsia="ar-SA"/>
        </w:rPr>
        <w:t>cópia d</w:t>
      </w:r>
      <w:r w:rsidRPr="00B62E26"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 New Roman" w:hAnsi="Times New Roman" w:cs="Times New Roman"/>
          <w:lang w:eastAsia="ar-SA"/>
        </w:rPr>
        <w:t xml:space="preserve">s documentos referentes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ao recolhimento da TSE – Taxa de Serviços Estaduais (fls. </w:t>
      </w:r>
      <w:r w:rsidR="00295110">
        <w:rPr>
          <w:rFonts w:ascii="Times New Roman" w:eastAsia="Times New Roman" w:hAnsi="Times New Roman" w:cs="Times New Roman"/>
          <w:lang w:eastAsia="ar-SA"/>
        </w:rPr>
        <w:t>08/10 e 30</w:t>
      </w:r>
      <w:r w:rsidR="007A2C0B">
        <w:rPr>
          <w:rFonts w:ascii="Times New Roman" w:eastAsia="Times New Roman" w:hAnsi="Times New Roman" w:cs="Times New Roman"/>
          <w:lang w:eastAsia="ar-SA"/>
        </w:rPr>
        <w:t>/3</w:t>
      </w:r>
      <w:r w:rsidR="00295110">
        <w:rPr>
          <w:rFonts w:ascii="Times New Roman" w:eastAsia="Times New Roman" w:hAnsi="Times New Roman" w:cs="Times New Roman"/>
          <w:lang w:eastAsia="ar-SA"/>
        </w:rPr>
        <w:t>4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>
        <w:rPr>
          <w:rFonts w:ascii="Times New Roman" w:eastAsia="Times New Roman" w:hAnsi="Times New Roman" w:cs="Times New Roman"/>
          <w:lang w:eastAsia="ar-SA"/>
        </w:rPr>
        <w:t xml:space="preserve"> formalizado na </w:t>
      </w:r>
      <w:r w:rsidR="007A2C0B">
        <w:rPr>
          <w:rFonts w:ascii="Times New Roman" w:eastAsia="Times New Roman" w:hAnsi="Times New Roman" w:cs="Times New Roman"/>
          <w:lang w:eastAsia="ar-SA"/>
        </w:rPr>
        <w:t xml:space="preserve">AFR </w:t>
      </w:r>
      <w:r w:rsidR="00295110">
        <w:rPr>
          <w:rFonts w:ascii="Times New Roman" w:eastAsia="Times New Roman" w:hAnsi="Times New Roman" w:cs="Times New Roman"/>
          <w:lang w:eastAsia="ar-SA"/>
        </w:rPr>
        <w:t>19.01</w:t>
      </w:r>
      <w:r w:rsidR="007A2C0B"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295110">
        <w:rPr>
          <w:rFonts w:ascii="Times New Roman" w:eastAsia="Times New Roman" w:hAnsi="Times New Roman" w:cs="Times New Roman"/>
          <w:lang w:eastAsia="ar-SA"/>
        </w:rPr>
        <w:t>Itaboraí</w:t>
      </w:r>
      <w:r w:rsidR="007A2C0B">
        <w:rPr>
          <w:rFonts w:ascii="Times New Roman" w:eastAsia="Times New Roman" w:hAnsi="Times New Roman" w:cs="Times New Roman"/>
          <w:lang w:eastAsia="ar-SA"/>
        </w:rPr>
        <w:t>, que declarou, às fls. 35, que a consulente n</w:t>
      </w:r>
      <w:r w:rsidR="00295110">
        <w:rPr>
          <w:rFonts w:ascii="Times New Roman" w:eastAsia="Times New Roman" w:hAnsi="Times New Roman" w:cs="Times New Roman"/>
          <w:lang w:eastAsia="ar-SA"/>
        </w:rPr>
        <w:t xml:space="preserve">ão se encontra </w:t>
      </w:r>
      <w:proofErr w:type="gramStart"/>
      <w:r w:rsidR="00295110">
        <w:rPr>
          <w:rFonts w:ascii="Times New Roman" w:eastAsia="Times New Roman" w:hAnsi="Times New Roman" w:cs="Times New Roman"/>
          <w:lang w:eastAsia="ar-SA"/>
        </w:rPr>
        <w:t>sob ação</w:t>
      </w:r>
      <w:proofErr w:type="gramEnd"/>
      <w:r w:rsidR="00295110">
        <w:rPr>
          <w:rFonts w:ascii="Times New Roman" w:eastAsia="Times New Roman" w:hAnsi="Times New Roman" w:cs="Times New Roman"/>
          <w:lang w:eastAsia="ar-SA"/>
        </w:rPr>
        <w:t xml:space="preserve"> fiscal, exceto a aberta para verificação dos procedimentos relativos à Consulta questionada.</w:t>
      </w:r>
      <w:r w:rsidR="009D2598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2598" w:rsidRPr="00AB5ACD">
        <w:rPr>
          <w:rFonts w:ascii="Times New Roman" w:eastAsia="Times New Roman" w:hAnsi="Times New Roman" w:cs="Times New Roman"/>
          <w:lang w:eastAsia="ar-SA"/>
        </w:rPr>
        <w:t xml:space="preserve">A repartição não se pronunciou quanto </w:t>
      </w:r>
      <w:r w:rsidR="00AB5ACD" w:rsidRPr="00AB5ACD">
        <w:rPr>
          <w:rFonts w:ascii="Times New Roman" w:eastAsia="Times New Roman" w:hAnsi="Times New Roman" w:cs="Times New Roman"/>
          <w:lang w:eastAsia="ar-SA"/>
        </w:rPr>
        <w:t>à</w:t>
      </w:r>
      <w:r w:rsidR="009D2598" w:rsidRPr="00AB5ACD">
        <w:rPr>
          <w:rFonts w:ascii="Times New Roman" w:eastAsia="Times New Roman" w:hAnsi="Times New Roman" w:cs="Times New Roman"/>
          <w:lang w:eastAsia="ar-SA"/>
        </w:rPr>
        <w:t xml:space="preserve"> existência de autos de infração relacionados ao objeto da Consulta.</w:t>
      </w:r>
    </w:p>
    <w:p w:rsidR="00F837C5" w:rsidRDefault="00F837C5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610B8" w:rsidRDefault="000610B8" w:rsidP="00F837C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empresa inicia sua exposição informando que perdeu o prazo para recurso da resposta da consulta anterior, e que não encontrou fundamentação legal para algumas afirmativas consignadas na mesma, além de questionar o fato da ausência, dentre os dispositivos legais destacados na resposta, do Inciso V do artigo 6º do Decreto </w:t>
      </w:r>
      <w:r w:rsidR="002665CC">
        <w:rPr>
          <w:rFonts w:ascii="Times New Roman" w:hAnsi="Times New Roman" w:cs="Times New Roman"/>
        </w:rPr>
        <w:t xml:space="preserve">nº. </w:t>
      </w:r>
      <w:r>
        <w:rPr>
          <w:rFonts w:ascii="Times New Roman" w:hAnsi="Times New Roman" w:cs="Times New Roman"/>
        </w:rPr>
        <w:t>42.649/2010.</w:t>
      </w:r>
    </w:p>
    <w:p w:rsidR="000610B8" w:rsidRDefault="000610B8" w:rsidP="00F837C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0610B8" w:rsidRDefault="000610B8" w:rsidP="00F837C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Isto posto</w:t>
      </w:r>
      <w:proofErr w:type="gramEnd"/>
      <w:r>
        <w:rPr>
          <w:rFonts w:ascii="Times New Roman" w:hAnsi="Times New Roman" w:cs="Times New Roman"/>
        </w:rPr>
        <w:t xml:space="preserve">, </w:t>
      </w:r>
      <w:r w:rsidR="00452C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onsulta, às fls. </w:t>
      </w:r>
      <w:r w:rsidR="00452C71">
        <w:rPr>
          <w:rFonts w:ascii="Times New Roman" w:hAnsi="Times New Roman" w:cs="Times New Roman"/>
        </w:rPr>
        <w:t>04/06:</w:t>
      </w:r>
    </w:p>
    <w:p w:rsidR="00452C71" w:rsidRDefault="00452C71" w:rsidP="00F837C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452C71" w:rsidRDefault="00452C71" w:rsidP="00100FFC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“1 – Na resposta à Consulta, dada ao item 01, foi estabelecido: </w:t>
      </w:r>
      <w:r w:rsidRPr="00452C71">
        <w:rPr>
          <w:rFonts w:ascii="Times New Roman" w:hAnsi="Times New Roman" w:cs="Times New Roman"/>
          <w:b/>
        </w:rPr>
        <w:t>“Componentes de eletroeletrônicos e/ou eletrodomésticos NÃO estão enquadrados no benefício, apenas produtos completos.</w:t>
      </w:r>
      <w:proofErr w:type="gramStart"/>
      <w:r w:rsidRPr="00452C71">
        <w:rPr>
          <w:rFonts w:ascii="Times New Roman" w:hAnsi="Times New Roman" w:cs="Times New Roman"/>
          <w:b/>
        </w:rPr>
        <w:t>”</w:t>
      </w:r>
      <w:proofErr w:type="gramEnd"/>
    </w:p>
    <w:p w:rsidR="006B37DE" w:rsidRDefault="006B37DE" w:rsidP="00100FFC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6B37DE">
        <w:rPr>
          <w:rFonts w:ascii="Times New Roman" w:hAnsi="Times New Roman" w:cs="Times New Roman"/>
        </w:rPr>
        <w:t xml:space="preserve">Não conseguimos encontrar uma fundamentação legal que ampare a conclusão </w:t>
      </w:r>
      <w:proofErr w:type="gramStart"/>
      <w:r w:rsidRPr="006B37DE">
        <w:rPr>
          <w:rFonts w:ascii="Times New Roman" w:hAnsi="Times New Roman" w:cs="Times New Roman"/>
        </w:rPr>
        <w:t>supra</w:t>
      </w:r>
      <w:r>
        <w:rPr>
          <w:rFonts w:ascii="Times New Roman" w:hAnsi="Times New Roman" w:cs="Times New Roman"/>
        </w:rPr>
        <w:t xml:space="preserve"> </w:t>
      </w:r>
      <w:r w:rsidRPr="006B37DE">
        <w:rPr>
          <w:rFonts w:ascii="Times New Roman" w:hAnsi="Times New Roman" w:cs="Times New Roman"/>
        </w:rPr>
        <w:t>citada</w:t>
      </w:r>
      <w:proofErr w:type="gramEnd"/>
      <w:r w:rsidRPr="006B37DE">
        <w:rPr>
          <w:rFonts w:ascii="Times New Roman" w:hAnsi="Times New Roman" w:cs="Times New Roman"/>
        </w:rPr>
        <w:t>, principalmente se considerarmos o Art. 6º inciso V. que não foi citado no Relatório, mas consta no Decreto 42.649/2010. Entendemos que, para efeito do enquadramento o Art. 1º</w:t>
      </w:r>
      <w:proofErr w:type="gramStart"/>
      <w:r w:rsidRPr="006B37DE">
        <w:rPr>
          <w:rFonts w:ascii="Times New Roman" w:hAnsi="Times New Roman" w:cs="Times New Roman"/>
        </w:rPr>
        <w:t xml:space="preserve"> ou seja</w:t>
      </w:r>
      <w:proofErr w:type="gramEnd"/>
      <w:r w:rsidRPr="006B37DE">
        <w:rPr>
          <w:rFonts w:ascii="Times New Roman" w:hAnsi="Times New Roman" w:cs="Times New Roman"/>
        </w:rPr>
        <w:t xml:space="preserve">, para </w:t>
      </w:r>
      <w:r w:rsidRPr="006B37DE">
        <w:rPr>
          <w:rFonts w:ascii="Times New Roman" w:hAnsi="Times New Roman" w:cs="Times New Roman"/>
        </w:rPr>
        <w:lastRenderedPageBreak/>
        <w:t>saída do estabelecimento e, gozar do benefício fiscal, o eletrodoméstico tem que ser produzido no Brasil (RJ) e faturado o produto inteiro. Ocorre que o Art. 6º concede benefício também na entrada se houver algum enquadramento em um dos cinco incisos do referido Art. Ocorre que o V inciso, concede benefícios para os componentes dos produtos listados no art. 1º no qual, consta a categoria Eletrodomésticos</w:t>
      </w:r>
      <w:proofErr w:type="gramStart"/>
      <w:r w:rsidRPr="006B37DE">
        <w:rPr>
          <w:rFonts w:ascii="Times New Roman" w:hAnsi="Times New Roman" w:cs="Times New Roman"/>
        </w:rPr>
        <w:t xml:space="preserve"> portanto</w:t>
      </w:r>
      <w:proofErr w:type="gramEnd"/>
      <w:r w:rsidRPr="006B37DE">
        <w:rPr>
          <w:rFonts w:ascii="Times New Roman" w:hAnsi="Times New Roman" w:cs="Times New Roman"/>
        </w:rPr>
        <w:t>, solicitamos um maior esclarecimento, devido na resposta à consulta:</w:t>
      </w:r>
    </w:p>
    <w:p w:rsidR="006B37DE" w:rsidRPr="00B46465" w:rsidRDefault="006B37DE" w:rsidP="006B37DE">
      <w:pPr>
        <w:pStyle w:val="PargrafodaLista"/>
        <w:numPr>
          <w:ilvl w:val="0"/>
          <w:numId w:val="7"/>
        </w:num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6465">
        <w:rPr>
          <w:rFonts w:ascii="Times New Roman" w:hAnsi="Times New Roman" w:cs="Times New Roman"/>
          <w:sz w:val="22"/>
          <w:szCs w:val="22"/>
        </w:rPr>
        <w:t xml:space="preserve">O inciso V do Art. 6º do Decreto 42.649/2010, não foi citado </w:t>
      </w:r>
      <w:r w:rsidR="005E5AFE" w:rsidRPr="00B46465">
        <w:rPr>
          <w:rFonts w:ascii="Times New Roman" w:hAnsi="Times New Roman" w:cs="Times New Roman"/>
          <w:sz w:val="22"/>
          <w:szCs w:val="22"/>
        </w:rPr>
        <w:t>por</w:t>
      </w:r>
      <w:r w:rsidRPr="00B464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6465">
        <w:rPr>
          <w:rFonts w:ascii="Times New Roman" w:hAnsi="Times New Roman" w:cs="Times New Roman"/>
          <w:sz w:val="22"/>
          <w:szCs w:val="22"/>
        </w:rPr>
        <w:t>V.Sa</w:t>
      </w:r>
      <w:proofErr w:type="spellEnd"/>
      <w:r w:rsidRPr="00B46465">
        <w:rPr>
          <w:rFonts w:ascii="Times New Roman" w:hAnsi="Times New Roman" w:cs="Times New Roman"/>
          <w:sz w:val="22"/>
          <w:szCs w:val="22"/>
        </w:rPr>
        <w:t>;</w:t>
      </w:r>
    </w:p>
    <w:p w:rsidR="006B37DE" w:rsidRDefault="005E5AFE" w:rsidP="006B37DE">
      <w:pPr>
        <w:pStyle w:val="PargrafodaLista"/>
        <w:numPr>
          <w:ilvl w:val="0"/>
          <w:numId w:val="7"/>
        </w:num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6465">
        <w:rPr>
          <w:rFonts w:ascii="Times New Roman" w:hAnsi="Times New Roman" w:cs="Times New Roman"/>
          <w:sz w:val="22"/>
          <w:szCs w:val="22"/>
        </w:rPr>
        <w:t xml:space="preserve">Qual é a fundamentação legal que impede a importação com incentivo de componentes de eletrodomésticos, quando o inciso V do Art. 6º </w:t>
      </w:r>
      <w:r w:rsidR="00100FFC" w:rsidRPr="00B46465">
        <w:rPr>
          <w:rFonts w:ascii="Times New Roman" w:hAnsi="Times New Roman" w:cs="Times New Roman"/>
          <w:sz w:val="22"/>
          <w:szCs w:val="22"/>
        </w:rPr>
        <w:t xml:space="preserve">concede este benefício a todos os produtos citados no art. 1º </w:t>
      </w:r>
      <w:r w:rsidRPr="00B46465">
        <w:rPr>
          <w:rFonts w:ascii="Times New Roman" w:hAnsi="Times New Roman" w:cs="Times New Roman"/>
          <w:sz w:val="22"/>
          <w:szCs w:val="22"/>
        </w:rPr>
        <w:t>do referido Decreto 42.649/2010.</w:t>
      </w:r>
    </w:p>
    <w:p w:rsidR="005E5AFE" w:rsidRDefault="005E5AFE" w:rsidP="005E5AFE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B46465">
        <w:rPr>
          <w:rFonts w:ascii="Times New Roman" w:hAnsi="Times New Roman" w:cs="Times New Roman"/>
          <w:sz w:val="22"/>
          <w:szCs w:val="22"/>
        </w:rPr>
        <w:t xml:space="preserve">Se a condição para se </w:t>
      </w:r>
      <w:proofErr w:type="gramStart"/>
      <w:r w:rsidRPr="00B46465">
        <w:rPr>
          <w:rFonts w:ascii="Times New Roman" w:hAnsi="Times New Roman" w:cs="Times New Roman"/>
          <w:sz w:val="22"/>
          <w:szCs w:val="22"/>
        </w:rPr>
        <w:t>obter</w:t>
      </w:r>
      <w:proofErr w:type="gramEnd"/>
      <w:r w:rsidRPr="00B46465">
        <w:rPr>
          <w:rFonts w:ascii="Times New Roman" w:hAnsi="Times New Roman" w:cs="Times New Roman"/>
          <w:sz w:val="22"/>
          <w:szCs w:val="22"/>
        </w:rPr>
        <w:t xml:space="preserve"> o benefício para </w:t>
      </w:r>
      <w:r w:rsidR="001A68C5" w:rsidRPr="00B46465">
        <w:rPr>
          <w:rFonts w:ascii="Times New Roman" w:hAnsi="Times New Roman" w:cs="Times New Roman"/>
          <w:sz w:val="22"/>
          <w:szCs w:val="22"/>
        </w:rPr>
        <w:t>eletrodomésticos</w:t>
      </w:r>
      <w:r w:rsidRPr="00B46465">
        <w:rPr>
          <w:rFonts w:ascii="Times New Roman" w:hAnsi="Times New Roman" w:cs="Times New Roman"/>
          <w:sz w:val="22"/>
          <w:szCs w:val="22"/>
        </w:rPr>
        <w:t xml:space="preserve"> é que o produto seja fabricado no Brasil e a consulente o fará, e os produtos fabricados estarem inseridos nos capítulos de NCM e no texto do Art. 1º do Decreto 42.649/2010, bem como, na relação </w:t>
      </w:r>
      <w:r w:rsidR="001A68C5" w:rsidRPr="00B46465">
        <w:rPr>
          <w:rFonts w:ascii="Times New Roman" w:hAnsi="Times New Roman" w:cs="Times New Roman"/>
          <w:sz w:val="22"/>
          <w:szCs w:val="22"/>
        </w:rPr>
        <w:t>anexa ao mesmo, entendemos que estas condições sejam suficientes para enquadrar os referidos produtos no inciso V do Art. 6º do referido decreto. Tal fato permite importar componentes para eletrodomésticos be</w:t>
      </w:r>
      <w:r w:rsidR="001C6164" w:rsidRPr="00B46465">
        <w:rPr>
          <w:rFonts w:ascii="Times New Roman" w:hAnsi="Times New Roman" w:cs="Times New Roman"/>
          <w:sz w:val="22"/>
          <w:szCs w:val="22"/>
        </w:rPr>
        <w:t xml:space="preserve">m </w:t>
      </w:r>
      <w:r w:rsidR="001A68C5" w:rsidRPr="00B46465">
        <w:rPr>
          <w:rFonts w:ascii="Times New Roman" w:hAnsi="Times New Roman" w:cs="Times New Roman"/>
          <w:sz w:val="22"/>
          <w:szCs w:val="22"/>
        </w:rPr>
        <w:t>como</w:t>
      </w:r>
      <w:r w:rsidR="001C6164" w:rsidRPr="00B46465">
        <w:rPr>
          <w:rFonts w:ascii="Times New Roman" w:hAnsi="Times New Roman" w:cs="Times New Roman"/>
          <w:sz w:val="22"/>
          <w:szCs w:val="22"/>
        </w:rPr>
        <w:t xml:space="preserve"> para</w:t>
      </w:r>
      <w:r w:rsidR="001A68C5" w:rsidRPr="00B46465">
        <w:rPr>
          <w:rFonts w:ascii="Times New Roman" w:hAnsi="Times New Roman" w:cs="Times New Roman"/>
          <w:sz w:val="22"/>
          <w:szCs w:val="22"/>
        </w:rPr>
        <w:t xml:space="preserve"> eletroeletrônicos. Caso não seja</w:t>
      </w:r>
      <w:r w:rsidR="001C6164" w:rsidRPr="00B46465">
        <w:rPr>
          <w:rFonts w:ascii="Times New Roman" w:hAnsi="Times New Roman" w:cs="Times New Roman"/>
          <w:sz w:val="22"/>
          <w:szCs w:val="22"/>
        </w:rPr>
        <w:t xml:space="preserve">, </w:t>
      </w:r>
      <w:r w:rsidR="001A68C5" w:rsidRPr="00B46465">
        <w:rPr>
          <w:rFonts w:ascii="Times New Roman" w:hAnsi="Times New Roman" w:cs="Times New Roman"/>
          <w:sz w:val="22"/>
          <w:szCs w:val="22"/>
        </w:rPr>
        <w:t xml:space="preserve">favor demonstrar a fundamentação legal que sustenta a conclusão mencionada na resposta à consulta. </w:t>
      </w:r>
    </w:p>
    <w:p w:rsidR="00100FFC" w:rsidRPr="00B46465" w:rsidRDefault="00100FFC" w:rsidP="005E5AFE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A68C5" w:rsidRPr="00B46465" w:rsidRDefault="001C6164" w:rsidP="005E5AFE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6465">
        <w:rPr>
          <w:rFonts w:ascii="Times New Roman" w:hAnsi="Times New Roman" w:cs="Times New Roman"/>
          <w:sz w:val="22"/>
          <w:szCs w:val="22"/>
        </w:rPr>
        <w:t xml:space="preserve">2 – Na resposta ao item </w:t>
      </w:r>
      <w:proofErr w:type="gramStart"/>
      <w:r w:rsidRPr="00B46465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B46465">
        <w:rPr>
          <w:rFonts w:ascii="Times New Roman" w:hAnsi="Times New Roman" w:cs="Times New Roman"/>
          <w:sz w:val="22"/>
          <w:szCs w:val="22"/>
        </w:rPr>
        <w:t xml:space="preserve"> da consulta, foi estabelecido:</w:t>
      </w:r>
      <w:r w:rsidR="00100FFC">
        <w:rPr>
          <w:rFonts w:ascii="Times New Roman" w:hAnsi="Times New Roman" w:cs="Times New Roman"/>
          <w:sz w:val="22"/>
          <w:szCs w:val="22"/>
        </w:rPr>
        <w:t xml:space="preserve"> </w:t>
      </w:r>
      <w:r w:rsidRPr="00B46465">
        <w:rPr>
          <w:rFonts w:ascii="Times New Roman" w:hAnsi="Times New Roman" w:cs="Times New Roman"/>
          <w:b/>
          <w:sz w:val="22"/>
          <w:szCs w:val="22"/>
        </w:rPr>
        <w:t xml:space="preserve">“Entendemos que a importação das </w:t>
      </w:r>
      <w:r w:rsidR="00B46465" w:rsidRPr="00B46465">
        <w:rPr>
          <w:rFonts w:ascii="Times New Roman" w:hAnsi="Times New Roman" w:cs="Times New Roman"/>
          <w:b/>
          <w:sz w:val="22"/>
          <w:szCs w:val="22"/>
        </w:rPr>
        <w:t>Lâmpadas</w:t>
      </w:r>
      <w:r w:rsidRPr="00B46465">
        <w:rPr>
          <w:rFonts w:ascii="Times New Roman" w:hAnsi="Times New Roman" w:cs="Times New Roman"/>
          <w:b/>
          <w:sz w:val="22"/>
          <w:szCs w:val="22"/>
        </w:rPr>
        <w:t xml:space="preserve"> Led para uso distinto do doméstico NÃO estaria cobert</w:t>
      </w:r>
      <w:r w:rsidR="00B46465" w:rsidRPr="00B46465">
        <w:rPr>
          <w:rFonts w:ascii="Times New Roman" w:hAnsi="Times New Roman" w:cs="Times New Roman"/>
          <w:b/>
          <w:sz w:val="22"/>
          <w:szCs w:val="22"/>
        </w:rPr>
        <w:t>a</w:t>
      </w:r>
      <w:r w:rsidRPr="00B46465">
        <w:rPr>
          <w:rFonts w:ascii="Times New Roman" w:hAnsi="Times New Roman" w:cs="Times New Roman"/>
          <w:b/>
          <w:sz w:val="22"/>
          <w:szCs w:val="22"/>
        </w:rPr>
        <w:t xml:space="preserve"> pelo benef</w:t>
      </w:r>
      <w:r w:rsidR="00B46465" w:rsidRPr="00B46465">
        <w:rPr>
          <w:rFonts w:ascii="Times New Roman" w:hAnsi="Times New Roman" w:cs="Times New Roman"/>
          <w:b/>
          <w:sz w:val="22"/>
          <w:szCs w:val="22"/>
        </w:rPr>
        <w:t>ício, apenas aquelas para uso doméstico.”</w:t>
      </w:r>
    </w:p>
    <w:p w:rsidR="00B46465" w:rsidRDefault="00B46465" w:rsidP="005E5AFE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Nossas alegações: </w:t>
      </w:r>
    </w:p>
    <w:p w:rsidR="00B46465" w:rsidRDefault="00B46465" w:rsidP="005E5AFE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a lâmpada LED é um produto classificado como eletroeletrônico, no Parecer Normativo 002/2015 citado na legislação em vossa resposta, este estabelece textualmente que:</w:t>
      </w:r>
    </w:p>
    <w:p w:rsidR="00B46465" w:rsidRDefault="00B46465" w:rsidP="005E5AFE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B46465">
        <w:rPr>
          <w:rFonts w:ascii="Times New Roman" w:hAnsi="Times New Roman" w:cs="Times New Roman"/>
          <w:b/>
          <w:sz w:val="22"/>
          <w:szCs w:val="22"/>
        </w:rPr>
        <w:t>“</w:t>
      </w:r>
      <w:proofErr w:type="gramStart"/>
      <w:r w:rsidRPr="00B46465">
        <w:rPr>
          <w:rFonts w:ascii="Times New Roman" w:hAnsi="Times New Roman" w:cs="Times New Roman"/>
          <w:b/>
          <w:sz w:val="22"/>
          <w:szCs w:val="22"/>
        </w:rPr>
        <w:t>b)</w:t>
      </w:r>
      <w:proofErr w:type="gramEnd"/>
      <w:r w:rsidRPr="00B46465">
        <w:rPr>
          <w:rFonts w:ascii="Times New Roman" w:hAnsi="Times New Roman" w:cs="Times New Roman"/>
          <w:b/>
          <w:sz w:val="22"/>
          <w:szCs w:val="22"/>
        </w:rPr>
        <w:t xml:space="preserve"> Eletroeletrônico é todo produto que, além de utilizar corrente elétrica, tenha seu funcionamento controlado por circuitos eletrônicos</w:t>
      </w:r>
      <w:r>
        <w:rPr>
          <w:rFonts w:ascii="Times New Roman" w:hAnsi="Times New Roman" w:cs="Times New Roman"/>
          <w:sz w:val="22"/>
          <w:szCs w:val="22"/>
        </w:rPr>
        <w:t>;”</w:t>
      </w:r>
    </w:p>
    <w:p w:rsidR="00B46465" w:rsidRDefault="00B46465" w:rsidP="00FC72D2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46465">
        <w:rPr>
          <w:rFonts w:ascii="Times New Roman" w:hAnsi="Times New Roman" w:cs="Times New Roman"/>
          <w:b/>
          <w:sz w:val="22"/>
          <w:szCs w:val="22"/>
        </w:rPr>
        <w:t>de</w:t>
      </w:r>
      <w:proofErr w:type="gramEnd"/>
      <w:r w:rsidRPr="00B46465">
        <w:rPr>
          <w:rFonts w:ascii="Times New Roman" w:hAnsi="Times New Roman" w:cs="Times New Roman"/>
          <w:b/>
          <w:sz w:val="22"/>
          <w:szCs w:val="22"/>
        </w:rPr>
        <w:t xml:space="preserve"> uso doméstico todo equipamento projetado para uso em residência, ainda que possa eventualmente, ser utilizado em ambiente não residencial.”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00FFC" w:rsidRDefault="00100FFC" w:rsidP="00FC72D2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FC72D2" w:rsidRDefault="00FC72D2" w:rsidP="00FC72D2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72D2">
        <w:rPr>
          <w:rFonts w:ascii="Times New Roman" w:hAnsi="Times New Roman" w:cs="Times New Roman"/>
          <w:sz w:val="22"/>
          <w:szCs w:val="22"/>
        </w:rPr>
        <w:t>Isto</w:t>
      </w:r>
      <w:r>
        <w:rPr>
          <w:rFonts w:ascii="Times New Roman" w:hAnsi="Times New Roman" w:cs="Times New Roman"/>
          <w:sz w:val="22"/>
          <w:szCs w:val="22"/>
        </w:rPr>
        <w:t xml:space="preserve"> posto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as luminárias de iluminação pública, não foram projetadas para uso doméstico. Pelo texto do Parecer Normativo 002/2015, fica muito claro que, o que define se o aparelho é de uso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doméstico ou não, é a sua concepção no projeto. Não conseguimos enxergar nenhum texto legal que possa restringir o benefício somente para lâmpadas LED de uso doméstico. As lâmpadas LED, são desenvolvidas de acordo com a finalidade </w:t>
      </w:r>
      <w:proofErr w:type="gramStart"/>
      <w:r>
        <w:rPr>
          <w:rFonts w:ascii="Times New Roman" w:hAnsi="Times New Roman" w:cs="Times New Roman"/>
          <w:sz w:val="22"/>
          <w:szCs w:val="22"/>
        </w:rPr>
        <w:t>onde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irão efetivamente ser utilizadas, onde possuem diversas variáveis que deverão ser contidas no projeto, tais como:</w:t>
      </w:r>
    </w:p>
    <w:p w:rsidR="00FC72D2" w:rsidRDefault="00FC72D2" w:rsidP="00FC72D2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Temperatura da Luz gerada pelo micro chip</w:t>
      </w:r>
    </w:p>
    <w:p w:rsidR="00FC72D2" w:rsidRDefault="00FC72D2" w:rsidP="00FC72D2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Ângulo de iluminação;</w:t>
      </w:r>
    </w:p>
    <w:p w:rsidR="00FC72D2" w:rsidRDefault="00FC72D2" w:rsidP="00FC72D2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Distância da lâmpada ao chão</w:t>
      </w:r>
    </w:p>
    <w:p w:rsidR="00FC72D2" w:rsidRDefault="00FC72D2" w:rsidP="00FC72D2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Quantidade de lumens que irá iluminar o chão;</w:t>
      </w:r>
    </w:p>
    <w:p w:rsidR="00384B86" w:rsidRDefault="00100FFC" w:rsidP="00100FFC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Estas variáveis irão ser colhidas, pelos técnicos do setor, para definir o tipo de lâmpada e a sua potência, portanto cada utilização demandará um projeto com especificação técnica da lâmpada a ser utilizada, o que define exatamente o uso residencial ou não. </w:t>
      </w:r>
      <w:r w:rsidR="00384B86">
        <w:rPr>
          <w:rFonts w:ascii="Times New Roman" w:hAnsi="Times New Roman" w:cs="Times New Roman"/>
          <w:sz w:val="22"/>
          <w:szCs w:val="22"/>
        </w:rPr>
        <w:t xml:space="preserve">Não podemos considerar uma lâmpada LED tipo refletor como sendo de uso doméstico. Não conseguimos identificar o embasamento legal, adotado na conclusão que lâmpada LED só </w:t>
      </w:r>
      <w:proofErr w:type="gramStart"/>
      <w:r w:rsidR="00384B86">
        <w:rPr>
          <w:rFonts w:ascii="Times New Roman" w:hAnsi="Times New Roman" w:cs="Times New Roman"/>
          <w:sz w:val="22"/>
          <w:szCs w:val="22"/>
        </w:rPr>
        <w:t>teriam</w:t>
      </w:r>
      <w:proofErr w:type="gramEnd"/>
      <w:r w:rsidR="00384B86">
        <w:rPr>
          <w:rFonts w:ascii="Times New Roman" w:hAnsi="Times New Roman" w:cs="Times New Roman"/>
          <w:sz w:val="22"/>
          <w:szCs w:val="22"/>
        </w:rPr>
        <w:t xml:space="preserve"> incentivo se fosse para uso doméstico. Favor nos apresentar a fundamentação legal que conduziu V.Sas. </w:t>
      </w:r>
      <w:proofErr w:type="gramStart"/>
      <w:r w:rsidR="00384B86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384B86">
        <w:rPr>
          <w:rFonts w:ascii="Times New Roman" w:hAnsi="Times New Roman" w:cs="Times New Roman"/>
          <w:sz w:val="22"/>
          <w:szCs w:val="22"/>
        </w:rPr>
        <w:t xml:space="preserve"> esta conclusão, pois não conseguimos localizar um texto legal que definisse que o benefício está limitado a Lâmpadas LED de uso doméstico. Precisamos de vossa resposta para que a diretoria tome as devidas providências, caso seja necessário. Nosso projeto pretende trabalhar com lâmpadas LED de grande potência e cujos projetos de concepção, foram definidos para usos</w:t>
      </w:r>
      <w:r w:rsidR="003C14CE">
        <w:rPr>
          <w:rFonts w:ascii="Times New Roman" w:hAnsi="Times New Roman" w:cs="Times New Roman"/>
          <w:sz w:val="22"/>
          <w:szCs w:val="22"/>
        </w:rPr>
        <w:t xml:space="preserve"> específicos </w:t>
      </w:r>
      <w:r w:rsidR="00384B86">
        <w:rPr>
          <w:rFonts w:ascii="Times New Roman" w:hAnsi="Times New Roman" w:cs="Times New Roman"/>
          <w:sz w:val="22"/>
          <w:szCs w:val="22"/>
        </w:rPr>
        <w:t xml:space="preserve">em espações abertos, estacionamentos, e iluminação de estádios de futebol e iluminação pública. O </w:t>
      </w:r>
      <w:r w:rsidR="003C14CE">
        <w:rPr>
          <w:rFonts w:ascii="Times New Roman" w:hAnsi="Times New Roman" w:cs="Times New Roman"/>
          <w:sz w:val="22"/>
          <w:szCs w:val="22"/>
        </w:rPr>
        <w:t>conjunto desta</w:t>
      </w:r>
      <w:r w:rsidR="00384B86">
        <w:rPr>
          <w:rFonts w:ascii="Times New Roman" w:hAnsi="Times New Roman" w:cs="Times New Roman"/>
          <w:sz w:val="22"/>
          <w:szCs w:val="22"/>
        </w:rPr>
        <w:t xml:space="preserve">s lâmpadas </w:t>
      </w:r>
      <w:proofErr w:type="gramStart"/>
      <w:r w:rsidR="00384B86">
        <w:rPr>
          <w:rFonts w:ascii="Times New Roman" w:hAnsi="Times New Roman" w:cs="Times New Roman"/>
          <w:sz w:val="22"/>
          <w:szCs w:val="22"/>
        </w:rPr>
        <w:t>foram concebidas</w:t>
      </w:r>
      <w:proofErr w:type="gramEnd"/>
      <w:r w:rsidR="00384B86">
        <w:rPr>
          <w:rFonts w:ascii="Times New Roman" w:hAnsi="Times New Roman" w:cs="Times New Roman"/>
          <w:sz w:val="22"/>
          <w:szCs w:val="22"/>
        </w:rPr>
        <w:t xml:space="preserve"> para funcionar em locais específicos e não residenciais, portanto, rigorosamente de acordo com o estabelecido no Parecer Normativo 002/2015. Entendemos que todas as lâmpadas LED são capacitadas para serem enquadradas no Incentivo Fiscal estabelecido no Art. 1º e inciso I do art. 6º.</w:t>
      </w:r>
    </w:p>
    <w:p w:rsidR="003C14CE" w:rsidRDefault="003C14CE" w:rsidP="00100FFC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Favor informar qual a vossa conclusão sobre o assunto acima tratado. Caso a mesma permaneça inalterada, favor apresentar a fundamentação legal, que embasou vossa resposta.</w:t>
      </w:r>
    </w:p>
    <w:p w:rsidR="003C14CE" w:rsidRDefault="003C14CE" w:rsidP="00100FFC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3C14CE" w:rsidRDefault="003C14CE" w:rsidP="00100FFC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Caso V. Sas. </w:t>
      </w:r>
      <w:proofErr w:type="gramStart"/>
      <w:r>
        <w:rPr>
          <w:rFonts w:ascii="Times New Roman" w:hAnsi="Times New Roman" w:cs="Times New Roman"/>
          <w:sz w:val="22"/>
          <w:szCs w:val="22"/>
        </w:rPr>
        <w:t>não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aceitem que sejam importados componentes de produtos eletrodomésticos, que na realidade seriam aparelhos elétricos, os quais não estão contemplados no Art. 1º do Decreto citado e só contemplam aparelhos eletrônicos e eletroeletrônicos existe a possibilidade de transformar os aparelhos elétricos em eletrônicos mediante a inclusão de um circuito eletrônico que promova o controle do aparelho tais como:</w:t>
      </w:r>
    </w:p>
    <w:p w:rsidR="003C14CE" w:rsidRDefault="003C14CE" w:rsidP="003C14C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Liga/Desliga;</w:t>
      </w:r>
    </w:p>
    <w:p w:rsidR="003C14CE" w:rsidRDefault="003C14CE" w:rsidP="003C14C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Controle de Velocidade;</w:t>
      </w:r>
    </w:p>
    <w:p w:rsidR="003C14CE" w:rsidRDefault="003C14CE" w:rsidP="003C14C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Pulse (quando necessário);</w:t>
      </w:r>
    </w:p>
    <w:p w:rsidR="003C14CE" w:rsidRDefault="003C14CE" w:rsidP="003C14C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Giro (quando necessário);</w:t>
      </w:r>
    </w:p>
    <w:p w:rsidR="003C14CE" w:rsidRDefault="003C14CE" w:rsidP="00282A2D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inclusão de um circuito eletrônico que controla todo o aparelho</w:t>
      </w:r>
      <w:proofErr w:type="gramStart"/>
      <w:r>
        <w:rPr>
          <w:rFonts w:ascii="Times New Roman" w:hAnsi="Times New Roman" w:cs="Times New Roman"/>
          <w:sz w:val="22"/>
          <w:szCs w:val="22"/>
        </w:rPr>
        <w:t>, muda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classificação de aparelho elétrico para eletroeletrônico, segundo o Parecer Normativo 002/2015. Desta forma</w:t>
      </w:r>
      <w:r w:rsidR="00282A2D">
        <w:rPr>
          <w:rFonts w:ascii="Times New Roman" w:hAnsi="Times New Roman" w:cs="Times New Roman"/>
          <w:sz w:val="22"/>
          <w:szCs w:val="22"/>
        </w:rPr>
        <w:t xml:space="preserve"> os eletrodomésticos deixariam de </w:t>
      </w:r>
      <w:proofErr w:type="gramStart"/>
      <w:r w:rsidR="00282A2D">
        <w:rPr>
          <w:rFonts w:ascii="Times New Roman" w:hAnsi="Times New Roman" w:cs="Times New Roman"/>
          <w:sz w:val="22"/>
          <w:szCs w:val="22"/>
        </w:rPr>
        <w:t>ser</w:t>
      </w:r>
      <w:proofErr w:type="gramEnd"/>
      <w:r w:rsidR="00282A2D">
        <w:rPr>
          <w:rFonts w:ascii="Times New Roman" w:hAnsi="Times New Roman" w:cs="Times New Roman"/>
          <w:sz w:val="22"/>
          <w:szCs w:val="22"/>
        </w:rPr>
        <w:t xml:space="preserve"> aparelhos elétricos para serem classificados como eletroeletrônicos. Nessas condições poderia enquadrar o produto no inciso V do Art. 6º?</w:t>
      </w:r>
    </w:p>
    <w:p w:rsidR="00282A2D" w:rsidRDefault="00282A2D" w:rsidP="00282A2D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Nossa intenção é poder importar componentes destes aparelhos, já que no Brasil não há disponibilidade de motores elétricos, disponíveis para que possamos fabricar eletrodomésticos. Todos os fabricantes de motores no Brasil</w:t>
      </w:r>
      <w:proofErr w:type="gramStart"/>
      <w:r>
        <w:rPr>
          <w:rFonts w:ascii="Times New Roman" w:hAnsi="Times New Roman" w:cs="Times New Roman"/>
          <w:sz w:val="22"/>
          <w:szCs w:val="22"/>
        </w:rPr>
        <w:t>, deixaram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fazê-los nos últimos anos e passaram a importa-los.</w:t>
      </w:r>
    </w:p>
    <w:p w:rsidR="007C6755" w:rsidRDefault="007C6755" w:rsidP="00282A2D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Seria possível importar aparelhos eletroeletrônicos, enquadrados no Art. 1º do Decreto 42.649/2010? E de acordo com o Inciso V do Art.6º importar componentes destes aparelhos?</w:t>
      </w:r>
    </w:p>
    <w:p w:rsidR="007C6755" w:rsidRDefault="007C6755" w:rsidP="00282A2D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 exemplo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r w:rsidR="009E41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seria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importação de um eletrodoméstico portátil, com placa de circuito eletrônico atendendo ao item do Parecer Normativo 02/2015.</w:t>
      </w:r>
    </w:p>
    <w:p w:rsidR="00903263" w:rsidRDefault="00903263" w:rsidP="00282A2D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Caso vossa resposta seja negativa, favor mencionar o texto legal que embasou vosso posicionamento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pois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no referido decreto o texto deixa claro que é possível se promover a importação de componentes, de produtos relacionados no Art. 1º do referido decreto 42.649/2010.” (SIC).</w:t>
      </w:r>
    </w:p>
    <w:p w:rsidR="00903263" w:rsidRDefault="00384B86" w:rsidP="00903263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B24" w:rsidRPr="00903263" w:rsidRDefault="00B43B24" w:rsidP="00903263">
      <w:pPr>
        <w:pStyle w:val="PargrafodaLista"/>
        <w:tabs>
          <w:tab w:val="left" w:pos="284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263">
        <w:rPr>
          <w:rFonts w:ascii="Times New Roman" w:hAnsi="Times New Roman" w:cs="Times New Roman"/>
          <w:b/>
          <w:sz w:val="22"/>
          <w:szCs w:val="22"/>
        </w:rPr>
        <w:t xml:space="preserve">II – ANÁLISE, FUNDAMENTAÇÃO E </w:t>
      </w:r>
      <w:proofErr w:type="gramStart"/>
      <w:r w:rsidRPr="00903263">
        <w:rPr>
          <w:rFonts w:ascii="Times New Roman" w:hAnsi="Times New Roman" w:cs="Times New Roman"/>
          <w:b/>
          <w:sz w:val="22"/>
          <w:szCs w:val="22"/>
        </w:rPr>
        <w:t>RESPOSTA</w:t>
      </w:r>
      <w:proofErr w:type="gramEnd"/>
    </w:p>
    <w:p w:rsidR="00632C55" w:rsidRPr="00903263" w:rsidRDefault="00632C55" w:rsidP="00903263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AB5ACD" w:rsidRDefault="00632C55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3263">
        <w:rPr>
          <w:rFonts w:ascii="Times New Roman" w:hAnsi="Times New Roman" w:cs="Times New Roman"/>
          <w:sz w:val="22"/>
          <w:szCs w:val="22"/>
        </w:rPr>
        <w:t xml:space="preserve">Preliminarmente cumpre informar que </w:t>
      </w:r>
      <w:r w:rsidR="00AB5ACD">
        <w:rPr>
          <w:rFonts w:ascii="Times New Roman" w:hAnsi="Times New Roman" w:cs="Times New Roman"/>
          <w:sz w:val="22"/>
          <w:szCs w:val="22"/>
        </w:rPr>
        <w:t>o fato de não ter sido destacado e reproduzido o I</w:t>
      </w:r>
      <w:r w:rsidR="009E41C3">
        <w:rPr>
          <w:rFonts w:ascii="Times New Roman" w:hAnsi="Times New Roman" w:cs="Times New Roman"/>
          <w:sz w:val="22"/>
          <w:szCs w:val="22"/>
        </w:rPr>
        <w:t>nciso V do artigo 6º do Decreto na resposta da consulta, não retira seus efeitos legais. O ali disposto continua sendo válido.</w:t>
      </w:r>
    </w:p>
    <w:p w:rsidR="00AB5ACD" w:rsidRDefault="00AB5ACD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32C55" w:rsidRPr="00903263" w:rsidRDefault="00632C55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3263">
        <w:rPr>
          <w:rFonts w:ascii="Times New Roman" w:hAnsi="Times New Roman" w:cs="Times New Roman"/>
          <w:sz w:val="22"/>
          <w:szCs w:val="22"/>
        </w:rPr>
        <w:t xml:space="preserve">Parece-nos que a consulente não percebeu que o Decreto </w:t>
      </w:r>
      <w:r w:rsidR="009E41C3">
        <w:rPr>
          <w:rFonts w:ascii="Times New Roman" w:hAnsi="Times New Roman" w:cs="Times New Roman"/>
          <w:sz w:val="22"/>
          <w:szCs w:val="22"/>
        </w:rPr>
        <w:t xml:space="preserve">nº. </w:t>
      </w:r>
      <w:r w:rsidRPr="00903263">
        <w:rPr>
          <w:rFonts w:ascii="Times New Roman" w:hAnsi="Times New Roman" w:cs="Times New Roman"/>
          <w:sz w:val="22"/>
          <w:szCs w:val="22"/>
        </w:rPr>
        <w:t xml:space="preserve">42.649/2010 permite e regulamenta benefícios distintos. No artigo 1º o benefício é de CRÉDITO PRESUMIDO. No artigo 2º também temos o benefício de CRÉDITO PRESUMIDO, mas para situações e condições diferentes das previstas no artigo 1º. Já o benefício do artigo 6º é de DIFERIMENTO </w:t>
      </w:r>
      <w:r w:rsidRPr="00903263">
        <w:rPr>
          <w:rFonts w:ascii="Times New Roman" w:hAnsi="Times New Roman" w:cs="Times New Roman"/>
          <w:sz w:val="22"/>
          <w:szCs w:val="22"/>
        </w:rPr>
        <w:lastRenderedPageBreak/>
        <w:t xml:space="preserve">do ICMS devido em algumas operações de entrada de mercadorias no estabelecimento do beneficiário, para o momento da saída da mercadoria (beneficiada ou não). São benefícios distintos, com condições de usufruto distintas também. Destacamos que o disposto no Inciso V do artigo 6º, possibilitando o benefício (de diferimento do ICMS) na importação de insumos, matérias primas e mercadorias secundárias somente </w:t>
      </w:r>
      <w:proofErr w:type="gramStart"/>
      <w:r w:rsidRPr="00903263">
        <w:rPr>
          <w:rFonts w:ascii="Times New Roman" w:hAnsi="Times New Roman" w:cs="Times New Roman"/>
          <w:sz w:val="22"/>
          <w:szCs w:val="22"/>
        </w:rPr>
        <w:t>é permitido</w:t>
      </w:r>
      <w:proofErr w:type="gramEnd"/>
      <w:r w:rsidRPr="00903263">
        <w:rPr>
          <w:rFonts w:ascii="Times New Roman" w:hAnsi="Times New Roman" w:cs="Times New Roman"/>
          <w:sz w:val="22"/>
          <w:szCs w:val="22"/>
        </w:rPr>
        <w:t xml:space="preserve"> para </w:t>
      </w:r>
      <w:r w:rsidRPr="00903263">
        <w:rPr>
          <w:rFonts w:ascii="Times New Roman" w:hAnsi="Times New Roman" w:cs="Times New Roman"/>
          <w:b/>
          <w:sz w:val="22"/>
          <w:szCs w:val="22"/>
        </w:rPr>
        <w:t xml:space="preserve">ESTABELECIMENTO INDUSTRIAL. </w:t>
      </w:r>
    </w:p>
    <w:p w:rsidR="00282A2D" w:rsidRPr="00903263" w:rsidRDefault="00282A2D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2A2D" w:rsidRPr="00903263" w:rsidRDefault="00632C55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3263">
        <w:rPr>
          <w:rFonts w:ascii="Times New Roman" w:hAnsi="Times New Roman" w:cs="Times New Roman"/>
          <w:sz w:val="22"/>
          <w:szCs w:val="22"/>
        </w:rPr>
        <w:t xml:space="preserve">No questionamento 01 original, </w:t>
      </w:r>
      <w:r w:rsidRPr="00581420">
        <w:rPr>
          <w:rFonts w:ascii="Times New Roman" w:hAnsi="Times New Roman" w:cs="Times New Roman"/>
          <w:b/>
          <w:sz w:val="22"/>
          <w:szCs w:val="22"/>
        </w:rPr>
        <w:t xml:space="preserve">a premissa seria a alteração do objeto social para Comercial </w:t>
      </w:r>
      <w:r w:rsidR="009D2598" w:rsidRPr="00581420">
        <w:rPr>
          <w:rFonts w:ascii="Times New Roman" w:hAnsi="Times New Roman" w:cs="Times New Roman"/>
          <w:b/>
          <w:sz w:val="22"/>
          <w:szCs w:val="22"/>
        </w:rPr>
        <w:t>A</w:t>
      </w:r>
      <w:r w:rsidRPr="00581420">
        <w:rPr>
          <w:rFonts w:ascii="Times New Roman" w:hAnsi="Times New Roman" w:cs="Times New Roman"/>
          <w:b/>
          <w:sz w:val="22"/>
          <w:szCs w:val="22"/>
        </w:rPr>
        <w:t>tacadista ou Centro de Distribuição</w:t>
      </w:r>
      <w:r w:rsidRPr="00903263">
        <w:rPr>
          <w:rFonts w:ascii="Times New Roman" w:hAnsi="Times New Roman" w:cs="Times New Roman"/>
          <w:sz w:val="22"/>
          <w:szCs w:val="22"/>
        </w:rPr>
        <w:t xml:space="preserve">. Ou seja, no caso de alteração de objeto, não há o que se falar do benefício dado pelo inciso V do artigo 6º, pois a empresa não preencheria os requisitos necessários para usufruto do benefício. No item 01 da Consulta original, a consulente questiona basicamente quanto ao artigo 1º do </w:t>
      </w:r>
      <w:r w:rsidR="002665CC">
        <w:rPr>
          <w:rFonts w:ascii="Times New Roman" w:hAnsi="Times New Roman" w:cs="Times New Roman"/>
          <w:sz w:val="22"/>
          <w:szCs w:val="22"/>
        </w:rPr>
        <w:t>D</w:t>
      </w:r>
      <w:r w:rsidRPr="00903263">
        <w:rPr>
          <w:rFonts w:ascii="Times New Roman" w:hAnsi="Times New Roman" w:cs="Times New Roman"/>
          <w:sz w:val="22"/>
          <w:szCs w:val="22"/>
        </w:rPr>
        <w:t xml:space="preserve">ecreto, e a resposta dada foi em relação ao artigo 1º. Para usufruir o benefício do artigo 1º, de CRÉDITO PRESUMIDO, de modo que a carga tributária seja equivalente a 2%, o eletrodoméstico deve ser produzido no país (ou seja, NÃO PODE SER IMPORTADO) ou o eletroeletrônico (e produto de informática) deve estar enquadrado em algum dos NCM discriminados no texto legal. Observar que, ressaltamos, de forma genérica, na resposta do item 01 original, a possibilidade de uso do benefício </w:t>
      </w:r>
      <w:r w:rsidR="002828D4" w:rsidRPr="00903263">
        <w:rPr>
          <w:rFonts w:ascii="Times New Roman" w:hAnsi="Times New Roman" w:cs="Times New Roman"/>
          <w:sz w:val="22"/>
          <w:szCs w:val="22"/>
        </w:rPr>
        <w:t xml:space="preserve">(diferimento) </w:t>
      </w:r>
      <w:r w:rsidRPr="00903263">
        <w:rPr>
          <w:rFonts w:ascii="Times New Roman" w:hAnsi="Times New Roman" w:cs="Times New Roman"/>
          <w:sz w:val="22"/>
          <w:szCs w:val="22"/>
        </w:rPr>
        <w:t xml:space="preserve">do artigo 6º, nas importações. </w:t>
      </w:r>
      <w:r w:rsidR="002828D4" w:rsidRPr="00903263">
        <w:rPr>
          <w:rFonts w:ascii="Times New Roman" w:hAnsi="Times New Roman" w:cs="Times New Roman"/>
          <w:sz w:val="22"/>
          <w:szCs w:val="22"/>
        </w:rPr>
        <w:t>Observar também que no</w:t>
      </w:r>
      <w:r w:rsidR="00322634">
        <w:rPr>
          <w:rFonts w:ascii="Times New Roman" w:hAnsi="Times New Roman" w:cs="Times New Roman"/>
          <w:sz w:val="22"/>
          <w:szCs w:val="22"/>
        </w:rPr>
        <w:t>s</w:t>
      </w:r>
      <w:r w:rsidR="002828D4" w:rsidRPr="00903263">
        <w:rPr>
          <w:rFonts w:ascii="Times New Roman" w:hAnsi="Times New Roman" w:cs="Times New Roman"/>
          <w:sz w:val="22"/>
          <w:szCs w:val="22"/>
        </w:rPr>
        <w:t xml:space="preserve"> ite</w:t>
      </w:r>
      <w:r w:rsidR="00322634">
        <w:rPr>
          <w:rFonts w:ascii="Times New Roman" w:hAnsi="Times New Roman" w:cs="Times New Roman"/>
          <w:sz w:val="22"/>
          <w:szCs w:val="22"/>
        </w:rPr>
        <w:t>ns</w:t>
      </w:r>
      <w:r w:rsidR="002828D4" w:rsidRPr="00903263">
        <w:rPr>
          <w:rFonts w:ascii="Times New Roman" w:hAnsi="Times New Roman" w:cs="Times New Roman"/>
          <w:sz w:val="22"/>
          <w:szCs w:val="22"/>
        </w:rPr>
        <w:t xml:space="preserve"> 03</w:t>
      </w:r>
      <w:r w:rsidR="00322634">
        <w:rPr>
          <w:rFonts w:ascii="Times New Roman" w:hAnsi="Times New Roman" w:cs="Times New Roman"/>
          <w:sz w:val="22"/>
          <w:szCs w:val="22"/>
        </w:rPr>
        <w:t xml:space="preserve"> e 09</w:t>
      </w:r>
      <w:r w:rsidR="002828D4" w:rsidRPr="00903263">
        <w:rPr>
          <w:rFonts w:ascii="Times New Roman" w:hAnsi="Times New Roman" w:cs="Times New Roman"/>
          <w:sz w:val="22"/>
          <w:szCs w:val="22"/>
        </w:rPr>
        <w:t xml:space="preserve"> da consulta original a consulente volta a afirmar que pretende operar como COMERCIAL ATACADISTA. Na condição de atacadista (ou centro de distribuição) </w:t>
      </w:r>
      <w:r w:rsidR="009132FB" w:rsidRPr="00903263">
        <w:rPr>
          <w:rFonts w:ascii="Times New Roman" w:hAnsi="Times New Roman" w:cs="Times New Roman"/>
          <w:sz w:val="22"/>
          <w:szCs w:val="22"/>
        </w:rPr>
        <w:t xml:space="preserve">a consulente </w:t>
      </w:r>
      <w:r w:rsidR="002828D4" w:rsidRPr="00903263">
        <w:rPr>
          <w:rFonts w:ascii="Times New Roman" w:hAnsi="Times New Roman" w:cs="Times New Roman"/>
          <w:sz w:val="22"/>
          <w:szCs w:val="22"/>
        </w:rPr>
        <w:t xml:space="preserve">não pode usufruir do benefício do Inciso V do artigo 6º do Decreto </w:t>
      </w:r>
      <w:r w:rsidR="002665CC">
        <w:rPr>
          <w:rFonts w:ascii="Times New Roman" w:hAnsi="Times New Roman" w:cs="Times New Roman"/>
          <w:sz w:val="22"/>
          <w:szCs w:val="22"/>
        </w:rPr>
        <w:t xml:space="preserve">nº. </w:t>
      </w:r>
      <w:r w:rsidR="002828D4" w:rsidRPr="00903263">
        <w:rPr>
          <w:rFonts w:ascii="Times New Roman" w:hAnsi="Times New Roman" w:cs="Times New Roman"/>
          <w:sz w:val="22"/>
          <w:szCs w:val="22"/>
        </w:rPr>
        <w:t xml:space="preserve">42.649/2010. </w:t>
      </w:r>
    </w:p>
    <w:p w:rsidR="00282A2D" w:rsidRPr="00903263" w:rsidRDefault="00282A2D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32C55" w:rsidRDefault="00632C55" w:rsidP="00903263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3263">
        <w:rPr>
          <w:rFonts w:ascii="Times New Roman" w:hAnsi="Times New Roman" w:cs="Times New Roman"/>
          <w:sz w:val="22"/>
          <w:szCs w:val="22"/>
        </w:rPr>
        <w:t xml:space="preserve">Entretanto, para clarear e pacificar a questão, </w:t>
      </w:r>
      <w:r w:rsidR="002828D4" w:rsidRPr="00903263">
        <w:rPr>
          <w:rFonts w:ascii="Times New Roman" w:hAnsi="Times New Roman" w:cs="Times New Roman"/>
          <w:sz w:val="22"/>
          <w:szCs w:val="22"/>
        </w:rPr>
        <w:t>fixamos</w:t>
      </w:r>
      <w:r w:rsidRPr="00903263">
        <w:rPr>
          <w:rFonts w:ascii="Times New Roman" w:hAnsi="Times New Roman" w:cs="Times New Roman"/>
          <w:sz w:val="22"/>
          <w:szCs w:val="22"/>
        </w:rPr>
        <w:t xml:space="preserve"> o entendimento no sentido de que a importação de peças e partes pode ser efetuada com o </w:t>
      </w:r>
      <w:r w:rsidR="009132FB" w:rsidRPr="00903263">
        <w:rPr>
          <w:rFonts w:ascii="Times New Roman" w:hAnsi="Times New Roman" w:cs="Times New Roman"/>
          <w:sz w:val="22"/>
          <w:szCs w:val="22"/>
        </w:rPr>
        <w:t>diferimento</w:t>
      </w:r>
      <w:r w:rsidRPr="00903263">
        <w:rPr>
          <w:rFonts w:ascii="Times New Roman" w:hAnsi="Times New Roman" w:cs="Times New Roman"/>
          <w:sz w:val="22"/>
          <w:szCs w:val="22"/>
        </w:rPr>
        <w:t xml:space="preserve"> do ICMS </w:t>
      </w:r>
      <w:r w:rsidR="00CE73F5">
        <w:rPr>
          <w:rFonts w:ascii="Times New Roman" w:hAnsi="Times New Roman" w:cs="Times New Roman"/>
          <w:sz w:val="22"/>
          <w:szCs w:val="22"/>
        </w:rPr>
        <w:t xml:space="preserve">incidente sobre </w:t>
      </w:r>
      <w:r w:rsidRPr="00903263">
        <w:rPr>
          <w:rFonts w:ascii="Times New Roman" w:hAnsi="Times New Roman" w:cs="Times New Roman"/>
          <w:sz w:val="22"/>
          <w:szCs w:val="22"/>
        </w:rPr>
        <w:t>a importação para o momento da saída da mercadoria pronta, desde que o estabelecimento s</w:t>
      </w:r>
      <w:r w:rsidR="009132FB" w:rsidRPr="00903263">
        <w:rPr>
          <w:rFonts w:ascii="Times New Roman" w:hAnsi="Times New Roman" w:cs="Times New Roman"/>
          <w:sz w:val="22"/>
          <w:szCs w:val="22"/>
        </w:rPr>
        <w:t xml:space="preserve">eja </w:t>
      </w:r>
      <w:r w:rsidR="009132FB" w:rsidRPr="00903263">
        <w:rPr>
          <w:rFonts w:ascii="Times New Roman" w:hAnsi="Times New Roman" w:cs="Times New Roman"/>
          <w:b/>
          <w:sz w:val="22"/>
          <w:szCs w:val="22"/>
        </w:rPr>
        <w:t xml:space="preserve">INDUSTRIAL e os produtos </w:t>
      </w:r>
      <w:r w:rsidR="00581420">
        <w:rPr>
          <w:rFonts w:ascii="Times New Roman" w:hAnsi="Times New Roman" w:cs="Times New Roman"/>
          <w:b/>
          <w:sz w:val="22"/>
          <w:szCs w:val="22"/>
        </w:rPr>
        <w:t xml:space="preserve">beneficiados </w:t>
      </w:r>
      <w:r w:rsidR="009132FB" w:rsidRPr="00903263">
        <w:rPr>
          <w:rFonts w:ascii="Times New Roman" w:hAnsi="Times New Roman" w:cs="Times New Roman"/>
          <w:b/>
          <w:sz w:val="22"/>
          <w:szCs w:val="22"/>
        </w:rPr>
        <w:t xml:space="preserve">tenham sido destinados ao processo industrial. </w:t>
      </w:r>
      <w:r w:rsidR="009132FB" w:rsidRPr="00903263">
        <w:rPr>
          <w:rFonts w:ascii="Times New Roman" w:hAnsi="Times New Roman" w:cs="Times New Roman"/>
          <w:sz w:val="22"/>
          <w:szCs w:val="22"/>
        </w:rPr>
        <w:t>Ou seja, a importação de partes e peças que não venham ser utilizadas no processo industrial NÃO está beneficiada.</w:t>
      </w:r>
    </w:p>
    <w:p w:rsidR="00B92F9C" w:rsidRDefault="00B92F9C" w:rsidP="00B92F9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B4519D" w:rsidRDefault="00581420" w:rsidP="00B92F9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B92F9C" w:rsidRPr="00B4519D">
        <w:rPr>
          <w:rFonts w:ascii="Times New Roman" w:eastAsia="Times New Roman" w:hAnsi="Times New Roman" w:cs="Times New Roman"/>
          <w:lang w:eastAsia="ar-SA"/>
        </w:rPr>
        <w:t xml:space="preserve">Quanto ao questionamento da restrição dos benefícios aos eletrodomésticos e eletroeletrônicos de uso doméstico, </w:t>
      </w:r>
      <w:r w:rsidR="00D161C2">
        <w:rPr>
          <w:rFonts w:ascii="Times New Roman" w:eastAsia="Times New Roman" w:hAnsi="Times New Roman" w:cs="Times New Roman"/>
          <w:lang w:eastAsia="ar-SA"/>
        </w:rPr>
        <w:t>nos baseamos nas determinações d</w:t>
      </w:r>
      <w:r w:rsidR="00B92F9C" w:rsidRPr="00B4519D">
        <w:rPr>
          <w:rFonts w:ascii="Times New Roman" w:eastAsia="Times New Roman" w:hAnsi="Times New Roman" w:cs="Times New Roman"/>
          <w:lang w:eastAsia="ar-SA"/>
        </w:rPr>
        <w:t xml:space="preserve">o Parecer Normativo </w:t>
      </w:r>
      <w:r w:rsidR="00B92F9C" w:rsidRPr="00B4519D">
        <w:rPr>
          <w:rFonts w:ascii="Times New Roman" w:eastAsia="Times New Roman" w:hAnsi="Times New Roman" w:cs="Times New Roman"/>
          <w:lang w:eastAsia="ar-SA"/>
        </w:rPr>
        <w:lastRenderedPageBreak/>
        <w:t xml:space="preserve">002/2015, publicado exatamente para normatizar as situações e definições relativas aos benefícios do Decreto </w:t>
      </w:r>
      <w:r w:rsidR="001302CD">
        <w:rPr>
          <w:rFonts w:ascii="Times New Roman" w:eastAsia="Times New Roman" w:hAnsi="Times New Roman" w:cs="Times New Roman"/>
          <w:lang w:eastAsia="ar-SA"/>
        </w:rPr>
        <w:t xml:space="preserve">nº. </w:t>
      </w:r>
      <w:r w:rsidR="00B92F9C" w:rsidRPr="00B4519D">
        <w:rPr>
          <w:rFonts w:ascii="Times New Roman" w:eastAsia="Times New Roman" w:hAnsi="Times New Roman" w:cs="Times New Roman"/>
          <w:lang w:eastAsia="ar-SA"/>
        </w:rPr>
        <w:t xml:space="preserve">42.649/2010. </w:t>
      </w:r>
      <w:r w:rsidR="00B4519D" w:rsidRPr="00B4519D">
        <w:rPr>
          <w:rFonts w:ascii="Times New Roman" w:eastAsia="Times New Roman" w:hAnsi="Times New Roman" w:cs="Times New Roman"/>
          <w:lang w:eastAsia="ar-SA"/>
        </w:rPr>
        <w:t>Não há nenhuma dúvida quanto ao uso doméstico dos eletrodomésticos, inerentes aos próprios produtos.</w:t>
      </w:r>
      <w:r w:rsidR="00B4519D">
        <w:rPr>
          <w:rFonts w:ascii="Times New Roman" w:eastAsia="Times New Roman" w:hAnsi="Times New Roman" w:cs="Times New Roman"/>
          <w:lang w:eastAsia="ar-SA"/>
        </w:rPr>
        <w:t xml:space="preserve"> A questão fica então apenas quanto aos eletroeletrônicos. O Parecer Normativo </w:t>
      </w:r>
      <w:r w:rsidR="00D161C2">
        <w:rPr>
          <w:rFonts w:ascii="Times New Roman" w:eastAsia="Times New Roman" w:hAnsi="Times New Roman" w:cs="Times New Roman"/>
          <w:lang w:eastAsia="ar-SA"/>
        </w:rPr>
        <w:t xml:space="preserve">002/2015, imediatamente antes da conclusão diz, textualmente: </w:t>
      </w:r>
    </w:p>
    <w:p w:rsidR="00223A7D" w:rsidRDefault="00223A7D" w:rsidP="00223A7D">
      <w:pPr>
        <w:spacing w:after="0"/>
        <w:jc w:val="both"/>
        <w:rPr>
          <w:rFonts w:ascii="Times New Roman" w:hAnsi="Times New Roman" w:cs="Times New Roman"/>
          <w:i/>
        </w:rPr>
      </w:pPr>
    </w:p>
    <w:p w:rsidR="00D161C2" w:rsidRDefault="00D161C2" w:rsidP="00223A7D">
      <w:pPr>
        <w:spacing w:after="0"/>
        <w:jc w:val="both"/>
        <w:rPr>
          <w:rFonts w:ascii="Times New Roman" w:hAnsi="Times New Roman" w:cs="Times New Roman"/>
          <w:i/>
        </w:rPr>
      </w:pPr>
      <w:r w:rsidRPr="00D161C2">
        <w:rPr>
          <w:rFonts w:ascii="Times New Roman" w:hAnsi="Times New Roman" w:cs="Times New Roman"/>
          <w:i/>
        </w:rPr>
        <w:t xml:space="preserve">Desta forma, verifica-se que eletrodomésticos são todos os aparelhos de uso doméstico que façam uso de corrente elétrica para seu funcionamento. Dentro desse gênero encontra-se </w:t>
      </w:r>
      <w:proofErr w:type="gramStart"/>
      <w:r w:rsidRPr="00D161C2">
        <w:rPr>
          <w:rFonts w:ascii="Times New Roman" w:hAnsi="Times New Roman" w:cs="Times New Roman"/>
          <w:i/>
        </w:rPr>
        <w:t>a espécie “eletrônicos”, que, além de utilizar corrente elétrica, funciona por meio de circuitos</w:t>
      </w:r>
      <w:proofErr w:type="gramEnd"/>
      <w:r w:rsidRPr="00D161C2">
        <w:rPr>
          <w:rFonts w:ascii="Times New Roman" w:hAnsi="Times New Roman" w:cs="Times New Roman"/>
          <w:i/>
        </w:rPr>
        <w:t>, conforme acima definido.</w:t>
      </w:r>
    </w:p>
    <w:p w:rsidR="00223A7D" w:rsidRDefault="00223A7D" w:rsidP="00223A7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161C2" w:rsidRDefault="00D161C2" w:rsidP="00223A7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Ou seja, para</w:t>
      </w:r>
      <w:r w:rsidR="00223A7D">
        <w:rPr>
          <w:rFonts w:ascii="Times New Roman" w:hAnsi="Times New Roman" w:cs="Times New Roman"/>
        </w:rPr>
        <w:t xml:space="preserve"> efeitos do disposto no artigo 1.º</w:t>
      </w:r>
      <w:r>
        <w:rPr>
          <w:rFonts w:ascii="Times New Roman" w:hAnsi="Times New Roman" w:cs="Times New Roman"/>
        </w:rPr>
        <w:t xml:space="preserve"> do Decreto </w:t>
      </w:r>
      <w:r w:rsidR="001302CD">
        <w:rPr>
          <w:rFonts w:ascii="Times New Roman" w:hAnsi="Times New Roman" w:cs="Times New Roman"/>
        </w:rPr>
        <w:t xml:space="preserve">nº. </w:t>
      </w:r>
      <w:r>
        <w:rPr>
          <w:rFonts w:ascii="Times New Roman" w:hAnsi="Times New Roman" w:cs="Times New Roman"/>
        </w:rPr>
        <w:t>42.649/2010</w:t>
      </w:r>
      <w:r w:rsidR="00223A7D">
        <w:rPr>
          <w:rFonts w:ascii="Times New Roman" w:hAnsi="Times New Roman" w:cs="Times New Roman"/>
        </w:rPr>
        <w:t xml:space="preserve">, o produto eletroeletrônico deve ser de uso doméstico. Observar que o Parecer, no item “c” da conclusão, já ampliou o conceito do uso doméstico para “projetado para uso doméstico, ainda que possa, eventualmente, ser utilizado em ambiente não residencial”. </w:t>
      </w:r>
      <w:r w:rsidR="007A6E2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Acrescentamos ainda que as consultas tributárias anteriores relativas ao Decreto 42.649/2010 tiveram como resposta a necessidade do eletrodoméstico/eletroeletrônico ser de uso doméstico para usufruto do benefício. Este é o entendimento desta Superintendência. </w:t>
      </w:r>
    </w:p>
    <w:p w:rsidR="007A6E2C" w:rsidRDefault="007A6E2C" w:rsidP="00223A7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A6E2C" w:rsidRDefault="007A6E2C" w:rsidP="00223A7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É importante ainda frisar que o Decreto</w:t>
      </w:r>
      <w:r w:rsidR="001302CD">
        <w:rPr>
          <w:rFonts w:ascii="Times New Roman" w:eastAsia="Times New Roman" w:hAnsi="Times New Roman" w:cs="Times New Roman"/>
          <w:lang w:eastAsia="ar-SA"/>
        </w:rPr>
        <w:t xml:space="preserve"> nº.</w:t>
      </w:r>
      <w:r>
        <w:rPr>
          <w:rFonts w:ascii="Times New Roman" w:eastAsia="Times New Roman" w:hAnsi="Times New Roman" w:cs="Times New Roman"/>
          <w:lang w:eastAsia="ar-SA"/>
        </w:rPr>
        <w:t xml:space="preserve"> 42.649/2015 não foi editado com base em Convênios ICMS, e que a legislação relativa a benefícios fiscais deve ser sempre interpretada de forma restritiva e literal. </w:t>
      </w:r>
    </w:p>
    <w:p w:rsidR="00383BD9" w:rsidRDefault="00383BD9" w:rsidP="00223A7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83BD9" w:rsidRDefault="00383BD9" w:rsidP="00223A7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92F9C" w:rsidRDefault="00736B25" w:rsidP="00581420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Quanto ao item 01 da presente consulta, </w:t>
      </w:r>
      <w:r w:rsidR="0059502F">
        <w:rPr>
          <w:rFonts w:ascii="Times New Roman" w:eastAsia="Times New Roman" w:hAnsi="Times New Roman" w:cs="Times New Roman"/>
          <w:lang w:eastAsia="ar-SA"/>
        </w:rPr>
        <w:t>respondemos</w:t>
      </w:r>
      <w:r>
        <w:rPr>
          <w:rFonts w:ascii="Times New Roman" w:eastAsia="Times New Roman" w:hAnsi="Times New Roman" w:cs="Times New Roman"/>
          <w:lang w:eastAsia="ar-SA"/>
        </w:rPr>
        <w:t xml:space="preserve"> que é permitido ao </w:t>
      </w:r>
      <w:r w:rsidRPr="00736B25">
        <w:rPr>
          <w:rFonts w:ascii="Times New Roman" w:eastAsia="Times New Roman" w:hAnsi="Times New Roman" w:cs="Times New Roman"/>
          <w:b/>
          <w:lang w:eastAsia="ar-SA"/>
        </w:rPr>
        <w:t>estabelecimento industrial,</w:t>
      </w:r>
      <w:r>
        <w:rPr>
          <w:rFonts w:ascii="Times New Roman" w:eastAsia="Times New Roman" w:hAnsi="Times New Roman" w:cs="Times New Roman"/>
          <w:lang w:eastAsia="ar-SA"/>
        </w:rPr>
        <w:t xml:space="preserve"> importar peças e partes de eletrodomésticos e eletroeletrônicos com diferimento do ICMS da importação, para o momento da saída da mercadoria industrializada, desde que estas tenham sido utilizadas no processo industrial.</w:t>
      </w:r>
    </w:p>
    <w:p w:rsidR="0059502F" w:rsidRDefault="0059502F" w:rsidP="00B4519D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Quanto ao item 02 da presente consulta, respondemos que </w:t>
      </w:r>
      <w:r w:rsidR="007A6E2C">
        <w:rPr>
          <w:rFonts w:ascii="Times New Roman" w:eastAsia="Times New Roman" w:hAnsi="Times New Roman" w:cs="Times New Roman"/>
          <w:lang w:eastAsia="ar-SA"/>
        </w:rPr>
        <w:t xml:space="preserve">para uso </w:t>
      </w:r>
      <w:proofErr w:type="gramStart"/>
      <w:r w:rsidR="007A6E2C">
        <w:rPr>
          <w:rFonts w:ascii="Times New Roman" w:eastAsia="Times New Roman" w:hAnsi="Times New Roman" w:cs="Times New Roman"/>
          <w:lang w:eastAsia="ar-SA"/>
        </w:rPr>
        <w:t>do benefícios</w:t>
      </w:r>
      <w:proofErr w:type="gramEnd"/>
      <w:r w:rsidR="007A6E2C">
        <w:rPr>
          <w:rFonts w:ascii="Times New Roman" w:eastAsia="Times New Roman" w:hAnsi="Times New Roman" w:cs="Times New Roman"/>
          <w:lang w:eastAsia="ar-SA"/>
        </w:rPr>
        <w:t xml:space="preserve"> é necessário que os produtos sejam de uso doméstico.</w:t>
      </w:r>
    </w:p>
    <w:p w:rsidR="0059502F" w:rsidRDefault="0059502F" w:rsidP="00B4519D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Quanto ao item 03 da presente consulta, respondemos qu</w:t>
      </w:r>
      <w:r w:rsidR="00B4519D">
        <w:rPr>
          <w:rFonts w:ascii="Times New Roman" w:eastAsia="Times New Roman" w:hAnsi="Times New Roman" w:cs="Times New Roman"/>
          <w:lang w:eastAsia="ar-SA"/>
        </w:rPr>
        <w:t xml:space="preserve">e </w:t>
      </w:r>
      <w:r w:rsidR="007A6E2C">
        <w:rPr>
          <w:rFonts w:ascii="Times New Roman" w:eastAsia="Times New Roman" w:hAnsi="Times New Roman" w:cs="Times New Roman"/>
          <w:lang w:eastAsia="ar-SA"/>
        </w:rPr>
        <w:t>se encontra</w:t>
      </w:r>
      <w:r w:rsidR="00B4519D">
        <w:rPr>
          <w:rFonts w:ascii="Times New Roman" w:eastAsia="Times New Roman" w:hAnsi="Times New Roman" w:cs="Times New Roman"/>
          <w:lang w:eastAsia="ar-SA"/>
        </w:rPr>
        <w:t xml:space="preserve"> prejudicado, pois o mesmo já foi respondido no item </w:t>
      </w:r>
      <w:r>
        <w:rPr>
          <w:rFonts w:ascii="Times New Roman" w:eastAsia="Times New Roman" w:hAnsi="Times New Roman" w:cs="Times New Roman"/>
          <w:lang w:eastAsia="ar-SA"/>
        </w:rPr>
        <w:t>01.</w:t>
      </w:r>
      <w:r w:rsidR="00383BD9">
        <w:rPr>
          <w:rFonts w:ascii="Times New Roman" w:eastAsia="Times New Roman" w:hAnsi="Times New Roman" w:cs="Times New Roman"/>
          <w:lang w:eastAsia="ar-SA"/>
        </w:rPr>
        <w:t xml:space="preserve"> É indiferente se o produto final será um eletrodoméstico ou um eletroeletrônico para fins de aproveitamento do benefício do Inciso V do artigo 6º do Decreto </w:t>
      </w:r>
      <w:r w:rsidR="001302CD">
        <w:rPr>
          <w:rFonts w:ascii="Times New Roman" w:eastAsia="Times New Roman" w:hAnsi="Times New Roman" w:cs="Times New Roman"/>
          <w:lang w:eastAsia="ar-SA"/>
        </w:rPr>
        <w:t xml:space="preserve">nº. </w:t>
      </w:r>
      <w:r w:rsidR="00383BD9">
        <w:rPr>
          <w:rFonts w:ascii="Times New Roman" w:eastAsia="Times New Roman" w:hAnsi="Times New Roman" w:cs="Times New Roman"/>
          <w:lang w:eastAsia="ar-SA"/>
        </w:rPr>
        <w:t xml:space="preserve">42.649/2010, desde que o importador seja industrial e as partes e peças importadas sejam utilizadas no processo industrial. </w:t>
      </w:r>
    </w:p>
    <w:p w:rsidR="00AB5ACD" w:rsidRDefault="00AB5ACD" w:rsidP="00B4519D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Ressaltamos que a consulta não poderá produzir efeitos caso existam autos de infração relacionados ao assunto.</w:t>
      </w:r>
    </w:p>
    <w:p w:rsidR="00AB5ACD" w:rsidRPr="00F2568E" w:rsidRDefault="00AB5ACD" w:rsidP="00AB5ACD">
      <w:pPr>
        <w:spacing w:after="0" w:line="360" w:lineRule="auto"/>
        <w:ind w:right="-1" w:firstLine="709"/>
        <w:jc w:val="both"/>
        <w:rPr>
          <w:rFonts w:ascii="Times Roman" w:hAnsi="Times Roman" w:cs="Times New Roman"/>
        </w:rPr>
      </w:pPr>
      <w:r w:rsidRPr="00F2568E">
        <w:rPr>
          <w:rFonts w:ascii="Times Roman" w:hAnsi="Times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F2568E">
        <w:rPr>
          <w:rFonts w:ascii="Times Roman" w:hAnsi="Times Roman" w:cs="Times New Roman"/>
        </w:rPr>
        <w:t xml:space="preserve"> ou seja</w:t>
      </w:r>
      <w:proofErr w:type="gramEnd"/>
      <w:r w:rsidRPr="00F2568E">
        <w:rPr>
          <w:rFonts w:ascii="Times Roman" w:hAnsi="Times Roman" w:cs="Times New Roman"/>
        </w:rPr>
        <w:t xml:space="preserve"> editada norma superveniente dispondo de forma contrária.</w:t>
      </w:r>
    </w:p>
    <w:p w:rsidR="004F7343" w:rsidRPr="009A3DAA" w:rsidRDefault="004F7343" w:rsidP="00D72061">
      <w:pPr>
        <w:spacing w:after="0"/>
        <w:ind w:right="-1"/>
        <w:jc w:val="center"/>
        <w:rPr>
          <w:rFonts w:ascii="Times New Roman" w:eastAsia="Calibri" w:hAnsi="Times New Roman" w:cs="Times New Roman"/>
        </w:rPr>
      </w:pPr>
      <w:r w:rsidRPr="009A3DAA">
        <w:rPr>
          <w:rFonts w:ascii="Times New Roman" w:eastAsia="Calibri" w:hAnsi="Times New Roman" w:cs="Times New Roman"/>
        </w:rPr>
        <w:t>CCJT, em</w:t>
      </w:r>
      <w:proofErr w:type="gramStart"/>
      <w:r w:rsidR="000B65CA" w:rsidRPr="009A3DAA">
        <w:rPr>
          <w:rFonts w:ascii="Times New Roman" w:eastAsia="Calibri" w:hAnsi="Times New Roman" w:cs="Times New Roman"/>
        </w:rPr>
        <w:t xml:space="preserve"> </w:t>
      </w:r>
      <w:r w:rsidR="00736B25">
        <w:rPr>
          <w:rFonts w:ascii="Times New Roman" w:eastAsia="Calibri" w:hAnsi="Times New Roman" w:cs="Times New Roman"/>
        </w:rPr>
        <w:t xml:space="preserve">  </w:t>
      </w:r>
      <w:r w:rsidR="00EA72BB">
        <w:rPr>
          <w:rFonts w:ascii="Times New Roman" w:eastAsia="Calibri" w:hAnsi="Times New Roman" w:cs="Times New Roman"/>
        </w:rPr>
        <w:t xml:space="preserve"> </w:t>
      </w:r>
      <w:proofErr w:type="gramEnd"/>
      <w:r w:rsidRPr="009A3DAA">
        <w:rPr>
          <w:rFonts w:ascii="Times New Roman" w:eastAsia="Calibri" w:hAnsi="Times New Roman" w:cs="Times New Roman"/>
        </w:rPr>
        <w:t xml:space="preserve">de </w:t>
      </w:r>
      <w:r w:rsidR="00736B25">
        <w:rPr>
          <w:rFonts w:ascii="Times New Roman" w:eastAsia="Calibri" w:hAnsi="Times New Roman" w:cs="Times New Roman"/>
        </w:rPr>
        <w:t>dezembro</w:t>
      </w:r>
      <w:r w:rsidR="00785153" w:rsidRPr="009A3DAA">
        <w:rPr>
          <w:rFonts w:ascii="Times New Roman" w:eastAsia="Calibri" w:hAnsi="Times New Roman" w:cs="Times New Roman"/>
        </w:rPr>
        <w:t xml:space="preserve"> </w:t>
      </w:r>
      <w:r w:rsidRPr="009A3DAA">
        <w:rPr>
          <w:rFonts w:ascii="Times New Roman" w:eastAsia="Calibri" w:hAnsi="Times New Roman" w:cs="Times New Roman"/>
        </w:rPr>
        <w:t>de 2016.</w:t>
      </w:r>
    </w:p>
    <w:p w:rsidR="00785153" w:rsidRPr="009A3DAA" w:rsidRDefault="00785153" w:rsidP="00D72061">
      <w:pPr>
        <w:spacing w:after="0"/>
        <w:ind w:right="-1"/>
        <w:jc w:val="center"/>
        <w:rPr>
          <w:rFonts w:ascii="Times New Roman" w:hAnsi="Times New Roman" w:cs="Times New Roman"/>
          <w:b/>
        </w:rPr>
      </w:pPr>
    </w:p>
    <w:sectPr w:rsidR="00785153" w:rsidRPr="009A3D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63" w:rsidRDefault="00B22163" w:rsidP="00844903">
      <w:pPr>
        <w:spacing w:after="0" w:line="240" w:lineRule="auto"/>
      </w:pPr>
      <w:r>
        <w:separator/>
      </w:r>
    </w:p>
  </w:endnote>
  <w:endnote w:type="continuationSeparator" w:id="0">
    <w:p w:rsidR="00B22163" w:rsidRDefault="00B22163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63" w:rsidRDefault="00B22163" w:rsidP="00844903">
      <w:pPr>
        <w:spacing w:after="0" w:line="240" w:lineRule="auto"/>
      </w:pPr>
      <w:r>
        <w:separator/>
      </w:r>
    </w:p>
  </w:footnote>
  <w:footnote w:type="continuationSeparator" w:id="0">
    <w:p w:rsidR="00B22163" w:rsidRDefault="00B22163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E3C92" wp14:editId="4AD666A9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A22B00">
                            <w:rPr>
                              <w:rFonts w:ascii="Times New Roman" w:hAnsi="Times New Roman" w:cs="Times New Roman"/>
                            </w:rPr>
                            <w:t>017</w:t>
                          </w:r>
                          <w:r w:rsidR="00DA3AB4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8E2D4D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DA3AB4">
                            <w:rPr>
                              <w:rFonts w:ascii="Times New Roman" w:hAnsi="Times New Roman" w:cs="Times New Roman"/>
                            </w:rPr>
                            <w:t>1227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25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A22B00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A22B00">
                      <w:rPr>
                        <w:rFonts w:ascii="Times New Roman" w:hAnsi="Times New Roman" w:cs="Times New Roman"/>
                      </w:rPr>
                      <w:t>017</w:t>
                    </w:r>
                    <w:r w:rsidR="00DA3AB4">
                      <w:rPr>
                        <w:rFonts w:ascii="Times New Roman" w:hAnsi="Times New Roman" w:cs="Times New Roman"/>
                      </w:rPr>
                      <w:t>/</w:t>
                    </w:r>
                    <w:r w:rsidR="008E2D4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DA3AB4">
                      <w:rPr>
                        <w:rFonts w:ascii="Times New Roman" w:hAnsi="Times New Roman" w:cs="Times New Roman"/>
                      </w:rPr>
                      <w:t>1227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183D0D">
                      <w:rPr>
                        <w:rFonts w:ascii="Times New Roman" w:hAnsi="Times New Roman" w:cs="Times New Roman"/>
                      </w:rPr>
                      <w:t>25</w:t>
                    </w:r>
                    <w:r w:rsidR="00E711AA">
                      <w:rPr>
                        <w:rFonts w:ascii="Times New Roman" w:hAnsi="Times New Roman" w:cs="Times New Roman"/>
                      </w:rPr>
                      <w:t>/</w:t>
                    </w:r>
                    <w:r w:rsidR="00183D0D">
                      <w:rPr>
                        <w:rFonts w:ascii="Times New Roman" w:hAnsi="Times New Roman" w:cs="Times New Roman"/>
                      </w:rPr>
                      <w:t>1</w:t>
                    </w:r>
                    <w:r w:rsidR="00A22B00">
                      <w:rPr>
                        <w:rFonts w:ascii="Times New Roman" w:hAnsi="Times New Roman" w:cs="Times New Roman"/>
                      </w:rPr>
                      <w:t>1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E2D2F06" wp14:editId="4671B38C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11AE9"/>
    <w:rsid w:val="00011AF2"/>
    <w:rsid w:val="00035BB7"/>
    <w:rsid w:val="00037261"/>
    <w:rsid w:val="000610B8"/>
    <w:rsid w:val="0006275F"/>
    <w:rsid w:val="0007792E"/>
    <w:rsid w:val="000901F0"/>
    <w:rsid w:val="000906D6"/>
    <w:rsid w:val="00090D09"/>
    <w:rsid w:val="00093558"/>
    <w:rsid w:val="000A08AF"/>
    <w:rsid w:val="000B1962"/>
    <w:rsid w:val="000B5200"/>
    <w:rsid w:val="000B65CA"/>
    <w:rsid w:val="000C0F8E"/>
    <w:rsid w:val="000D2DCF"/>
    <w:rsid w:val="000D3CA4"/>
    <w:rsid w:val="000E4031"/>
    <w:rsid w:val="000E5B05"/>
    <w:rsid w:val="000F4F6E"/>
    <w:rsid w:val="001000A6"/>
    <w:rsid w:val="00100FFC"/>
    <w:rsid w:val="00101398"/>
    <w:rsid w:val="001018C8"/>
    <w:rsid w:val="00101BC0"/>
    <w:rsid w:val="0010315D"/>
    <w:rsid w:val="001064CE"/>
    <w:rsid w:val="001247EC"/>
    <w:rsid w:val="001302CD"/>
    <w:rsid w:val="00140A53"/>
    <w:rsid w:val="00145F77"/>
    <w:rsid w:val="00156EF3"/>
    <w:rsid w:val="00171423"/>
    <w:rsid w:val="00183D0D"/>
    <w:rsid w:val="001973BF"/>
    <w:rsid w:val="001A4C32"/>
    <w:rsid w:val="001A68C5"/>
    <w:rsid w:val="001A75C8"/>
    <w:rsid w:val="001C6164"/>
    <w:rsid w:val="001E6D22"/>
    <w:rsid w:val="00204D7C"/>
    <w:rsid w:val="00212201"/>
    <w:rsid w:val="00223A7D"/>
    <w:rsid w:val="00247518"/>
    <w:rsid w:val="00251E93"/>
    <w:rsid w:val="002577BF"/>
    <w:rsid w:val="0026316D"/>
    <w:rsid w:val="002661DC"/>
    <w:rsid w:val="002665CC"/>
    <w:rsid w:val="002753D0"/>
    <w:rsid w:val="002828D4"/>
    <w:rsid w:val="00282A2D"/>
    <w:rsid w:val="002830A4"/>
    <w:rsid w:val="0028465C"/>
    <w:rsid w:val="00293C0D"/>
    <w:rsid w:val="00295110"/>
    <w:rsid w:val="002A7F8B"/>
    <w:rsid w:val="002C1FA4"/>
    <w:rsid w:val="002D4397"/>
    <w:rsid w:val="002D7E70"/>
    <w:rsid w:val="002E027C"/>
    <w:rsid w:val="002E41E2"/>
    <w:rsid w:val="002E5D1C"/>
    <w:rsid w:val="00314181"/>
    <w:rsid w:val="00322634"/>
    <w:rsid w:val="0033060B"/>
    <w:rsid w:val="00331266"/>
    <w:rsid w:val="00343E41"/>
    <w:rsid w:val="00345844"/>
    <w:rsid w:val="00364CFC"/>
    <w:rsid w:val="003745BF"/>
    <w:rsid w:val="003765DA"/>
    <w:rsid w:val="00383BD9"/>
    <w:rsid w:val="00384B86"/>
    <w:rsid w:val="00395886"/>
    <w:rsid w:val="003973AA"/>
    <w:rsid w:val="003C078A"/>
    <w:rsid w:val="003C14CE"/>
    <w:rsid w:val="003C5B47"/>
    <w:rsid w:val="003D09D5"/>
    <w:rsid w:val="003D0E58"/>
    <w:rsid w:val="003D1379"/>
    <w:rsid w:val="003D45F0"/>
    <w:rsid w:val="003F1113"/>
    <w:rsid w:val="00404318"/>
    <w:rsid w:val="004068EE"/>
    <w:rsid w:val="0041056C"/>
    <w:rsid w:val="0041131D"/>
    <w:rsid w:val="0042689C"/>
    <w:rsid w:val="0043044B"/>
    <w:rsid w:val="00452C71"/>
    <w:rsid w:val="00457E93"/>
    <w:rsid w:val="00493941"/>
    <w:rsid w:val="004A7251"/>
    <w:rsid w:val="004B0CF0"/>
    <w:rsid w:val="004C464A"/>
    <w:rsid w:val="004C56E6"/>
    <w:rsid w:val="004E3A95"/>
    <w:rsid w:val="004F2997"/>
    <w:rsid w:val="004F7343"/>
    <w:rsid w:val="0051048E"/>
    <w:rsid w:val="005172AA"/>
    <w:rsid w:val="00530BDC"/>
    <w:rsid w:val="00534904"/>
    <w:rsid w:val="00534FEC"/>
    <w:rsid w:val="005357B0"/>
    <w:rsid w:val="0054185F"/>
    <w:rsid w:val="00544E74"/>
    <w:rsid w:val="005548F5"/>
    <w:rsid w:val="0055671C"/>
    <w:rsid w:val="00581420"/>
    <w:rsid w:val="0058192E"/>
    <w:rsid w:val="0059502F"/>
    <w:rsid w:val="00597A09"/>
    <w:rsid w:val="005B0E49"/>
    <w:rsid w:val="005B0F1D"/>
    <w:rsid w:val="005D4761"/>
    <w:rsid w:val="005D788A"/>
    <w:rsid w:val="005E5AFE"/>
    <w:rsid w:val="005F6671"/>
    <w:rsid w:val="00607CA2"/>
    <w:rsid w:val="006112E7"/>
    <w:rsid w:val="00623078"/>
    <w:rsid w:val="006238C8"/>
    <w:rsid w:val="00632C55"/>
    <w:rsid w:val="00637E5F"/>
    <w:rsid w:val="006448EC"/>
    <w:rsid w:val="00646A0B"/>
    <w:rsid w:val="006552A3"/>
    <w:rsid w:val="00655831"/>
    <w:rsid w:val="006816DA"/>
    <w:rsid w:val="00691B8A"/>
    <w:rsid w:val="006B1937"/>
    <w:rsid w:val="006B2C82"/>
    <w:rsid w:val="006B37DE"/>
    <w:rsid w:val="006C20EB"/>
    <w:rsid w:val="006C6B84"/>
    <w:rsid w:val="006D5AFB"/>
    <w:rsid w:val="006F1260"/>
    <w:rsid w:val="006F6E4E"/>
    <w:rsid w:val="00700CA9"/>
    <w:rsid w:val="0071136F"/>
    <w:rsid w:val="0072313C"/>
    <w:rsid w:val="00736B25"/>
    <w:rsid w:val="007422D0"/>
    <w:rsid w:val="00746F3D"/>
    <w:rsid w:val="007471CA"/>
    <w:rsid w:val="00756B29"/>
    <w:rsid w:val="00757366"/>
    <w:rsid w:val="007575A2"/>
    <w:rsid w:val="007723CF"/>
    <w:rsid w:val="00772AE2"/>
    <w:rsid w:val="007850BF"/>
    <w:rsid w:val="00785153"/>
    <w:rsid w:val="007A12AC"/>
    <w:rsid w:val="007A1819"/>
    <w:rsid w:val="007A2C0B"/>
    <w:rsid w:val="007A39AB"/>
    <w:rsid w:val="007A3CE1"/>
    <w:rsid w:val="007A6E2C"/>
    <w:rsid w:val="007B7370"/>
    <w:rsid w:val="007C399F"/>
    <w:rsid w:val="007C597D"/>
    <w:rsid w:val="007C6755"/>
    <w:rsid w:val="007D0F8B"/>
    <w:rsid w:val="007D5CF6"/>
    <w:rsid w:val="007D7DA1"/>
    <w:rsid w:val="007E1873"/>
    <w:rsid w:val="007E588C"/>
    <w:rsid w:val="007F1181"/>
    <w:rsid w:val="007F78A5"/>
    <w:rsid w:val="008068DA"/>
    <w:rsid w:val="00813E3A"/>
    <w:rsid w:val="00815F3A"/>
    <w:rsid w:val="008163FD"/>
    <w:rsid w:val="00822310"/>
    <w:rsid w:val="008230CB"/>
    <w:rsid w:val="00826D15"/>
    <w:rsid w:val="00831039"/>
    <w:rsid w:val="00832918"/>
    <w:rsid w:val="00832AB0"/>
    <w:rsid w:val="00844903"/>
    <w:rsid w:val="008453BE"/>
    <w:rsid w:val="00863084"/>
    <w:rsid w:val="00871F1C"/>
    <w:rsid w:val="00873BAE"/>
    <w:rsid w:val="008907C5"/>
    <w:rsid w:val="008A11BA"/>
    <w:rsid w:val="008A5EC7"/>
    <w:rsid w:val="008C01D1"/>
    <w:rsid w:val="008C3000"/>
    <w:rsid w:val="008C5921"/>
    <w:rsid w:val="008C658D"/>
    <w:rsid w:val="008E2D4D"/>
    <w:rsid w:val="008F5EC4"/>
    <w:rsid w:val="0090166F"/>
    <w:rsid w:val="00903263"/>
    <w:rsid w:val="009075B6"/>
    <w:rsid w:val="009132FB"/>
    <w:rsid w:val="0092229E"/>
    <w:rsid w:val="00926B82"/>
    <w:rsid w:val="00935F30"/>
    <w:rsid w:val="00961C22"/>
    <w:rsid w:val="00973781"/>
    <w:rsid w:val="00992AB3"/>
    <w:rsid w:val="0099500E"/>
    <w:rsid w:val="009A1664"/>
    <w:rsid w:val="009A34CD"/>
    <w:rsid w:val="009A3DAA"/>
    <w:rsid w:val="009B20B3"/>
    <w:rsid w:val="009C5467"/>
    <w:rsid w:val="009C69AD"/>
    <w:rsid w:val="009C7AE1"/>
    <w:rsid w:val="009D2598"/>
    <w:rsid w:val="009D3929"/>
    <w:rsid w:val="009D66F5"/>
    <w:rsid w:val="009E41C3"/>
    <w:rsid w:val="009E71F6"/>
    <w:rsid w:val="00A03F99"/>
    <w:rsid w:val="00A15768"/>
    <w:rsid w:val="00A20B57"/>
    <w:rsid w:val="00A22B00"/>
    <w:rsid w:val="00A231DF"/>
    <w:rsid w:val="00A545E7"/>
    <w:rsid w:val="00A60119"/>
    <w:rsid w:val="00A66948"/>
    <w:rsid w:val="00A74D07"/>
    <w:rsid w:val="00A92883"/>
    <w:rsid w:val="00AA1E9B"/>
    <w:rsid w:val="00AA25E1"/>
    <w:rsid w:val="00AB35F5"/>
    <w:rsid w:val="00AB5ACD"/>
    <w:rsid w:val="00AB6B5A"/>
    <w:rsid w:val="00AC13CB"/>
    <w:rsid w:val="00AC2AD0"/>
    <w:rsid w:val="00AC7AC9"/>
    <w:rsid w:val="00AD4D66"/>
    <w:rsid w:val="00AD6E40"/>
    <w:rsid w:val="00AD6E8C"/>
    <w:rsid w:val="00AE4E82"/>
    <w:rsid w:val="00AF444B"/>
    <w:rsid w:val="00B22163"/>
    <w:rsid w:val="00B2263B"/>
    <w:rsid w:val="00B428B8"/>
    <w:rsid w:val="00B43B24"/>
    <w:rsid w:val="00B45097"/>
    <w:rsid w:val="00B4519D"/>
    <w:rsid w:val="00B452E2"/>
    <w:rsid w:val="00B46465"/>
    <w:rsid w:val="00B50F8D"/>
    <w:rsid w:val="00B56947"/>
    <w:rsid w:val="00B62E26"/>
    <w:rsid w:val="00B64C37"/>
    <w:rsid w:val="00B672A3"/>
    <w:rsid w:val="00B92F9C"/>
    <w:rsid w:val="00B934CD"/>
    <w:rsid w:val="00BA022B"/>
    <w:rsid w:val="00BB22C9"/>
    <w:rsid w:val="00BB5252"/>
    <w:rsid w:val="00BB73D9"/>
    <w:rsid w:val="00BE00C1"/>
    <w:rsid w:val="00BE3A00"/>
    <w:rsid w:val="00C008FD"/>
    <w:rsid w:val="00C00FD0"/>
    <w:rsid w:val="00C03D76"/>
    <w:rsid w:val="00C1770E"/>
    <w:rsid w:val="00C3743A"/>
    <w:rsid w:val="00C43103"/>
    <w:rsid w:val="00C57499"/>
    <w:rsid w:val="00C61FC6"/>
    <w:rsid w:val="00C9336D"/>
    <w:rsid w:val="00CA3F68"/>
    <w:rsid w:val="00CB74A7"/>
    <w:rsid w:val="00CC33E8"/>
    <w:rsid w:val="00CD13A8"/>
    <w:rsid w:val="00CD2BA5"/>
    <w:rsid w:val="00CD311D"/>
    <w:rsid w:val="00CE34FB"/>
    <w:rsid w:val="00CE73F5"/>
    <w:rsid w:val="00CF7FB2"/>
    <w:rsid w:val="00D008B5"/>
    <w:rsid w:val="00D10382"/>
    <w:rsid w:val="00D10B61"/>
    <w:rsid w:val="00D161C2"/>
    <w:rsid w:val="00D23C52"/>
    <w:rsid w:val="00D52FBC"/>
    <w:rsid w:val="00D57935"/>
    <w:rsid w:val="00D61B6D"/>
    <w:rsid w:val="00D64EAC"/>
    <w:rsid w:val="00D715A1"/>
    <w:rsid w:val="00D72061"/>
    <w:rsid w:val="00D82811"/>
    <w:rsid w:val="00D93C56"/>
    <w:rsid w:val="00D96F4D"/>
    <w:rsid w:val="00DA3AB4"/>
    <w:rsid w:val="00DC50D8"/>
    <w:rsid w:val="00DC664E"/>
    <w:rsid w:val="00DD232D"/>
    <w:rsid w:val="00DF6093"/>
    <w:rsid w:val="00E114DB"/>
    <w:rsid w:val="00E120CB"/>
    <w:rsid w:val="00E21F75"/>
    <w:rsid w:val="00E266C0"/>
    <w:rsid w:val="00E27CC4"/>
    <w:rsid w:val="00E317DA"/>
    <w:rsid w:val="00E407A2"/>
    <w:rsid w:val="00E6082B"/>
    <w:rsid w:val="00E711AA"/>
    <w:rsid w:val="00E76C65"/>
    <w:rsid w:val="00E85D06"/>
    <w:rsid w:val="00E86E4B"/>
    <w:rsid w:val="00EA18AD"/>
    <w:rsid w:val="00EA72BB"/>
    <w:rsid w:val="00EB21FF"/>
    <w:rsid w:val="00EB4132"/>
    <w:rsid w:val="00EC6B06"/>
    <w:rsid w:val="00ED72DA"/>
    <w:rsid w:val="00EE67C1"/>
    <w:rsid w:val="00EF7396"/>
    <w:rsid w:val="00F2568E"/>
    <w:rsid w:val="00F2700C"/>
    <w:rsid w:val="00F35818"/>
    <w:rsid w:val="00F810D1"/>
    <w:rsid w:val="00F81F42"/>
    <w:rsid w:val="00F837C5"/>
    <w:rsid w:val="00FB4EE0"/>
    <w:rsid w:val="00FC5521"/>
    <w:rsid w:val="00FC72D2"/>
    <w:rsid w:val="00FD1F5B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11420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2</cp:revision>
  <cp:lastPrinted>2016-12-13T18:02:00Z</cp:lastPrinted>
  <dcterms:created xsi:type="dcterms:W3CDTF">2017-03-09T17:07:00Z</dcterms:created>
  <dcterms:modified xsi:type="dcterms:W3CDTF">2017-03-09T17:07:00Z</dcterms:modified>
</cp:coreProperties>
</file>