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1" w:type="dxa"/>
        <w:tblInd w:w="-72" w:type="dxa"/>
        <w:tblLayout w:type="fixed"/>
        <w:tblCellMar>
          <w:left w:w="70" w:type="dxa"/>
          <w:right w:w="70" w:type="dxa"/>
        </w:tblCellMar>
        <w:tblLook w:val="04A0" w:firstRow="1" w:lastRow="0" w:firstColumn="1" w:lastColumn="0" w:noHBand="0" w:noVBand="1"/>
      </w:tblPr>
      <w:tblGrid>
        <w:gridCol w:w="1474"/>
        <w:gridCol w:w="297"/>
        <w:gridCol w:w="7710"/>
      </w:tblGrid>
      <w:tr w:rsidR="005D4761" w:rsidRPr="002E71D2" w:rsidTr="00BB0D0C">
        <w:trPr>
          <w:trHeight w:val="231"/>
        </w:trPr>
        <w:tc>
          <w:tcPr>
            <w:tcW w:w="1474" w:type="dxa"/>
            <w:hideMark/>
          </w:tcPr>
          <w:p w:rsidR="005D4761" w:rsidRPr="002E71D2" w:rsidRDefault="005D4761"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Interessado</w:t>
            </w:r>
          </w:p>
        </w:tc>
        <w:tc>
          <w:tcPr>
            <w:tcW w:w="297" w:type="dxa"/>
            <w:hideMark/>
          </w:tcPr>
          <w:p w:rsidR="005D4761" w:rsidRPr="002E71D2" w:rsidRDefault="005D4761" w:rsidP="00065296">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w:t>
            </w:r>
          </w:p>
        </w:tc>
        <w:tc>
          <w:tcPr>
            <w:tcW w:w="7710" w:type="dxa"/>
          </w:tcPr>
          <w:p w:rsidR="005D4761" w:rsidRPr="002E71D2" w:rsidRDefault="00727B8A"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proofErr w:type="gramStart"/>
            <w:r w:rsidRPr="002E71D2">
              <w:rPr>
                <w:rFonts w:ascii="Times New Roman" w:eastAsia="Times New Roman" w:hAnsi="Times New Roman" w:cs="Times New Roman"/>
                <w:b/>
                <w:smallCaps/>
                <w:lang w:eastAsia="ar-SA"/>
              </w:rPr>
              <w:t>banco</w:t>
            </w:r>
            <w:proofErr w:type="gramEnd"/>
            <w:r w:rsidRPr="002E71D2">
              <w:rPr>
                <w:rFonts w:ascii="Times New Roman" w:eastAsia="Times New Roman" w:hAnsi="Times New Roman" w:cs="Times New Roman"/>
                <w:b/>
                <w:smallCaps/>
                <w:lang w:eastAsia="ar-SA"/>
              </w:rPr>
              <w:t xml:space="preserve"> da providência</w:t>
            </w:r>
          </w:p>
        </w:tc>
      </w:tr>
      <w:tr w:rsidR="005D4761" w:rsidRPr="002E71D2" w:rsidTr="00BB0D0C">
        <w:trPr>
          <w:trHeight w:val="231"/>
        </w:trPr>
        <w:tc>
          <w:tcPr>
            <w:tcW w:w="1474" w:type="dxa"/>
            <w:hideMark/>
          </w:tcPr>
          <w:p w:rsidR="005D4761" w:rsidRPr="002E71D2" w:rsidRDefault="005D4761"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Inscrição</w:t>
            </w:r>
          </w:p>
        </w:tc>
        <w:tc>
          <w:tcPr>
            <w:tcW w:w="297" w:type="dxa"/>
            <w:hideMark/>
          </w:tcPr>
          <w:p w:rsidR="005D4761" w:rsidRPr="002E71D2" w:rsidRDefault="005D4761" w:rsidP="00065296">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w:t>
            </w:r>
          </w:p>
        </w:tc>
        <w:tc>
          <w:tcPr>
            <w:tcW w:w="7710" w:type="dxa"/>
          </w:tcPr>
          <w:p w:rsidR="005D4761" w:rsidRPr="002E71D2" w:rsidRDefault="005D4761"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p>
        </w:tc>
      </w:tr>
      <w:tr w:rsidR="005D4761" w:rsidRPr="002E71D2" w:rsidTr="00BB0D0C">
        <w:trPr>
          <w:trHeight w:val="231"/>
        </w:trPr>
        <w:tc>
          <w:tcPr>
            <w:tcW w:w="1474" w:type="dxa"/>
            <w:hideMark/>
          </w:tcPr>
          <w:p w:rsidR="005D4761" w:rsidRPr="002E71D2" w:rsidRDefault="005D4761"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CNPJ</w:t>
            </w:r>
          </w:p>
        </w:tc>
        <w:tc>
          <w:tcPr>
            <w:tcW w:w="297" w:type="dxa"/>
            <w:hideMark/>
          </w:tcPr>
          <w:p w:rsidR="005D4761" w:rsidRPr="002E71D2" w:rsidRDefault="005D4761" w:rsidP="00065296">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w:t>
            </w:r>
          </w:p>
        </w:tc>
        <w:tc>
          <w:tcPr>
            <w:tcW w:w="7710" w:type="dxa"/>
          </w:tcPr>
          <w:p w:rsidR="005D4761" w:rsidRPr="002E71D2" w:rsidRDefault="009177BA"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33.</w:t>
            </w:r>
            <w:r w:rsidR="00727B8A" w:rsidRPr="002E71D2">
              <w:rPr>
                <w:rFonts w:ascii="Times New Roman" w:eastAsia="Times New Roman" w:hAnsi="Times New Roman" w:cs="Times New Roman"/>
                <w:b/>
                <w:smallCaps/>
                <w:lang w:eastAsia="ar-SA"/>
              </w:rPr>
              <w:t>645.086/0001-69</w:t>
            </w:r>
          </w:p>
        </w:tc>
      </w:tr>
      <w:tr w:rsidR="005D4761" w:rsidRPr="002E71D2" w:rsidTr="00BB0D0C">
        <w:trPr>
          <w:trHeight w:val="231"/>
        </w:trPr>
        <w:tc>
          <w:tcPr>
            <w:tcW w:w="1474" w:type="dxa"/>
            <w:hideMark/>
          </w:tcPr>
          <w:p w:rsidR="005D4761" w:rsidRPr="002E71D2" w:rsidRDefault="005D4761"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Origem</w:t>
            </w:r>
          </w:p>
        </w:tc>
        <w:tc>
          <w:tcPr>
            <w:tcW w:w="297" w:type="dxa"/>
            <w:hideMark/>
          </w:tcPr>
          <w:p w:rsidR="005D4761" w:rsidRPr="002E71D2" w:rsidRDefault="005D4761" w:rsidP="00065296">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w:t>
            </w:r>
          </w:p>
        </w:tc>
        <w:tc>
          <w:tcPr>
            <w:tcW w:w="7710" w:type="dxa"/>
          </w:tcPr>
          <w:p w:rsidR="005D4761" w:rsidRPr="002E71D2" w:rsidRDefault="00C06529" w:rsidP="00C06529">
            <w:pPr>
              <w:keepLines/>
              <w:widowControl w:val="0"/>
              <w:tabs>
                <w:tab w:val="left" w:pos="1399"/>
              </w:tabs>
              <w:autoSpaceDE w:val="0"/>
              <w:spacing w:after="0" w:line="360" w:lineRule="auto"/>
              <w:ind w:right="-1"/>
              <w:jc w:val="both"/>
              <w:outlineLvl w:val="1"/>
              <w:rPr>
                <w:rFonts w:ascii="Times New Roman" w:eastAsia="Times New Roman" w:hAnsi="Times New Roman" w:cs="Times New Roman"/>
                <w:b/>
                <w:smallCaps/>
                <w:lang w:eastAsia="ar-SA"/>
              </w:rPr>
            </w:pPr>
            <w:proofErr w:type="spellStart"/>
            <w:proofErr w:type="gramStart"/>
            <w:r w:rsidRPr="002E71D2">
              <w:rPr>
                <w:rFonts w:ascii="Times New Roman" w:eastAsia="Times New Roman" w:hAnsi="Times New Roman" w:cs="Times New Roman"/>
                <w:b/>
                <w:smallCaps/>
                <w:lang w:eastAsia="ar-SA"/>
              </w:rPr>
              <w:t>a</w:t>
            </w:r>
            <w:r w:rsidR="00727B8A" w:rsidRPr="002E71D2">
              <w:rPr>
                <w:rFonts w:ascii="Times New Roman" w:eastAsia="Times New Roman" w:hAnsi="Times New Roman" w:cs="Times New Roman"/>
                <w:b/>
                <w:smallCaps/>
                <w:lang w:eastAsia="ar-SA"/>
              </w:rPr>
              <w:t>rf</w:t>
            </w:r>
            <w:proofErr w:type="spellEnd"/>
            <w:proofErr w:type="gramEnd"/>
            <w:r w:rsidR="00727B8A" w:rsidRPr="002E71D2">
              <w:rPr>
                <w:rFonts w:ascii="Times New Roman" w:eastAsia="Times New Roman" w:hAnsi="Times New Roman" w:cs="Times New Roman"/>
                <w:b/>
                <w:smallCaps/>
                <w:lang w:eastAsia="ar-SA"/>
              </w:rPr>
              <w:t xml:space="preserve"> 64.10 - centro</w:t>
            </w:r>
          </w:p>
        </w:tc>
      </w:tr>
      <w:tr w:rsidR="005D4761" w:rsidRPr="002E71D2" w:rsidTr="00BB0D0C">
        <w:trPr>
          <w:trHeight w:val="449"/>
        </w:trPr>
        <w:tc>
          <w:tcPr>
            <w:tcW w:w="1474" w:type="dxa"/>
            <w:hideMark/>
          </w:tcPr>
          <w:p w:rsidR="005D4761" w:rsidRPr="002E71D2" w:rsidRDefault="005D4761"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Assunto:</w:t>
            </w:r>
          </w:p>
        </w:tc>
        <w:tc>
          <w:tcPr>
            <w:tcW w:w="297" w:type="dxa"/>
            <w:hideMark/>
          </w:tcPr>
          <w:p w:rsidR="005D4761" w:rsidRPr="002E71D2" w:rsidRDefault="00C46441" w:rsidP="00065296">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w:t>
            </w:r>
          </w:p>
        </w:tc>
        <w:tc>
          <w:tcPr>
            <w:tcW w:w="7710" w:type="dxa"/>
          </w:tcPr>
          <w:p w:rsidR="00251E93" w:rsidRPr="002E71D2" w:rsidRDefault="00727B8A" w:rsidP="00065296">
            <w:pPr>
              <w:keepLines/>
              <w:widowControl w:val="0"/>
              <w:tabs>
                <w:tab w:val="left" w:pos="6910"/>
                <w:tab w:val="left" w:pos="7073"/>
              </w:tabs>
              <w:autoSpaceDE w:val="0"/>
              <w:spacing w:after="0" w:line="360" w:lineRule="auto"/>
              <w:ind w:left="17" w:right="-1" w:hanging="17"/>
              <w:jc w:val="both"/>
              <w:outlineLvl w:val="1"/>
              <w:rPr>
                <w:rFonts w:ascii="Times New Roman" w:eastAsia="Times New Roman" w:hAnsi="Times New Roman" w:cs="Times New Roman"/>
                <w:b/>
                <w:smallCaps/>
                <w:lang w:eastAsia="ar-SA"/>
              </w:rPr>
            </w:pPr>
            <w:proofErr w:type="gramStart"/>
            <w:r w:rsidRPr="002E71D2">
              <w:rPr>
                <w:rFonts w:ascii="Times New Roman" w:eastAsia="Times New Roman" w:hAnsi="Times New Roman" w:cs="Times New Roman"/>
                <w:b/>
                <w:smallCaps/>
                <w:lang w:eastAsia="ar-SA"/>
              </w:rPr>
              <w:t>responsabilidade</w:t>
            </w:r>
            <w:proofErr w:type="gramEnd"/>
            <w:r w:rsidRPr="002E71D2">
              <w:rPr>
                <w:rFonts w:ascii="Times New Roman" w:eastAsia="Times New Roman" w:hAnsi="Times New Roman" w:cs="Times New Roman"/>
                <w:b/>
                <w:smallCaps/>
                <w:lang w:eastAsia="ar-SA"/>
              </w:rPr>
              <w:t xml:space="preserve"> solidária do promotor de eventos pelo pagamento do imposto dos expositores</w:t>
            </w:r>
          </w:p>
          <w:p w:rsidR="00096CB4" w:rsidRPr="002E71D2" w:rsidRDefault="00096CB4" w:rsidP="00065296">
            <w:pPr>
              <w:keepLines/>
              <w:widowControl w:val="0"/>
              <w:tabs>
                <w:tab w:val="left" w:pos="6910"/>
                <w:tab w:val="left" w:pos="7073"/>
              </w:tabs>
              <w:autoSpaceDE w:val="0"/>
              <w:spacing w:after="0" w:line="360" w:lineRule="auto"/>
              <w:ind w:left="17" w:right="-1" w:hanging="17"/>
              <w:jc w:val="both"/>
              <w:outlineLvl w:val="1"/>
              <w:rPr>
                <w:rFonts w:ascii="Times New Roman" w:eastAsia="Times New Roman" w:hAnsi="Times New Roman" w:cs="Times New Roman"/>
                <w:b/>
                <w:smallCaps/>
                <w:lang w:eastAsia="ar-SA"/>
              </w:rPr>
            </w:pPr>
          </w:p>
        </w:tc>
      </w:tr>
    </w:tbl>
    <w:p w:rsidR="005D4761" w:rsidRPr="002E71D2" w:rsidRDefault="00C43103" w:rsidP="00065296">
      <w:pPr>
        <w:spacing w:line="360" w:lineRule="auto"/>
        <w:ind w:left="4956" w:right="-1" w:hanging="278"/>
        <w:jc w:val="both"/>
        <w:rPr>
          <w:rFonts w:ascii="Times New Roman" w:hAnsi="Times New Roman" w:cs="Times New Roman"/>
          <w:b/>
          <w:smallCaps/>
        </w:rPr>
      </w:pPr>
      <w:r w:rsidRPr="002E71D2">
        <w:rPr>
          <w:rFonts w:ascii="Times New Roman" w:hAnsi="Times New Roman" w:cs="Times New Roman"/>
          <w:b/>
          <w:smallCaps/>
        </w:rPr>
        <w:t xml:space="preserve"> </w:t>
      </w:r>
      <w:r w:rsidR="00D72061" w:rsidRPr="002E71D2">
        <w:rPr>
          <w:rFonts w:ascii="Times New Roman" w:hAnsi="Times New Roman" w:cs="Times New Roman"/>
          <w:b/>
          <w:smallCaps/>
        </w:rPr>
        <w:t xml:space="preserve">  </w:t>
      </w:r>
      <w:r w:rsidRPr="002E71D2">
        <w:rPr>
          <w:rFonts w:ascii="Times New Roman" w:hAnsi="Times New Roman" w:cs="Times New Roman"/>
          <w:b/>
          <w:smallCaps/>
        </w:rPr>
        <w:t xml:space="preserve">   </w:t>
      </w:r>
      <w:r w:rsidR="00BD284F" w:rsidRPr="002E71D2">
        <w:rPr>
          <w:rFonts w:ascii="Times New Roman" w:hAnsi="Times New Roman" w:cs="Times New Roman"/>
          <w:b/>
          <w:smallCaps/>
        </w:rPr>
        <w:tab/>
      </w:r>
      <w:r w:rsidR="00BD284F" w:rsidRPr="002E71D2">
        <w:rPr>
          <w:rFonts w:ascii="Times New Roman" w:hAnsi="Times New Roman" w:cs="Times New Roman"/>
          <w:b/>
          <w:smallCaps/>
        </w:rPr>
        <w:tab/>
        <w:t xml:space="preserve">       </w:t>
      </w:r>
      <w:r w:rsidR="0026316D" w:rsidRPr="002E71D2">
        <w:rPr>
          <w:rFonts w:ascii="Times New Roman" w:hAnsi="Times New Roman" w:cs="Times New Roman"/>
          <w:b/>
          <w:smallCaps/>
        </w:rPr>
        <w:t>consulta</w:t>
      </w:r>
      <w:r w:rsidR="00DE26C9" w:rsidRPr="002E71D2">
        <w:rPr>
          <w:rFonts w:ascii="Times New Roman" w:hAnsi="Times New Roman" w:cs="Times New Roman"/>
          <w:b/>
          <w:smallCaps/>
        </w:rPr>
        <w:t xml:space="preserve"> </w:t>
      </w:r>
      <w:r w:rsidR="0026316D" w:rsidRPr="002E71D2">
        <w:rPr>
          <w:rFonts w:ascii="Times New Roman" w:hAnsi="Times New Roman" w:cs="Times New Roman"/>
          <w:b/>
          <w:smallCaps/>
        </w:rPr>
        <w:t xml:space="preserve">nº    </w:t>
      </w:r>
      <w:r w:rsidR="00D03915">
        <w:rPr>
          <w:rFonts w:ascii="Times New Roman" w:hAnsi="Times New Roman" w:cs="Times New Roman"/>
          <w:b/>
          <w:smallCaps/>
        </w:rPr>
        <w:t>134</w:t>
      </w:r>
      <w:bookmarkStart w:id="0" w:name="_GoBack"/>
      <w:bookmarkEnd w:id="0"/>
      <w:r w:rsidR="0026316D" w:rsidRPr="002E71D2">
        <w:rPr>
          <w:rFonts w:ascii="Times New Roman" w:hAnsi="Times New Roman" w:cs="Times New Roman"/>
          <w:b/>
          <w:smallCaps/>
        </w:rPr>
        <w:t xml:space="preserve"> /201</w:t>
      </w:r>
      <w:r w:rsidR="00BD284F" w:rsidRPr="002E71D2">
        <w:rPr>
          <w:rFonts w:ascii="Times New Roman" w:hAnsi="Times New Roman" w:cs="Times New Roman"/>
          <w:b/>
          <w:smallCaps/>
        </w:rPr>
        <w:t>7</w:t>
      </w:r>
    </w:p>
    <w:p w:rsidR="005110FF" w:rsidRPr="002E71D2" w:rsidRDefault="005110FF" w:rsidP="00065296">
      <w:pPr>
        <w:widowControl w:val="0"/>
        <w:autoSpaceDE w:val="0"/>
        <w:spacing w:after="0" w:line="360" w:lineRule="auto"/>
        <w:ind w:right="-1"/>
        <w:jc w:val="both"/>
        <w:rPr>
          <w:rFonts w:ascii="Times New Roman" w:eastAsia="Times New Roman" w:hAnsi="Times New Roman" w:cs="Times New Roman"/>
          <w:b/>
          <w:lang w:eastAsia="ar-SA"/>
        </w:rPr>
      </w:pPr>
    </w:p>
    <w:p w:rsidR="00753960" w:rsidRPr="002E71D2" w:rsidRDefault="00753960" w:rsidP="00065296">
      <w:pPr>
        <w:widowControl w:val="0"/>
        <w:autoSpaceDE w:val="0"/>
        <w:spacing w:after="0" w:line="360" w:lineRule="auto"/>
        <w:ind w:right="-1"/>
        <w:jc w:val="both"/>
        <w:rPr>
          <w:rFonts w:ascii="Times New Roman" w:eastAsia="Times New Roman" w:hAnsi="Times New Roman" w:cs="Times New Roman"/>
          <w:b/>
          <w:lang w:eastAsia="ar-SA"/>
        </w:rPr>
      </w:pPr>
    </w:p>
    <w:p w:rsidR="00B62E26" w:rsidRPr="002E71D2" w:rsidRDefault="00B62E26" w:rsidP="00065296">
      <w:pPr>
        <w:widowControl w:val="0"/>
        <w:autoSpaceDE w:val="0"/>
        <w:spacing w:after="0" w:line="360" w:lineRule="auto"/>
        <w:ind w:right="-1"/>
        <w:jc w:val="center"/>
        <w:rPr>
          <w:rFonts w:ascii="Times New Roman" w:eastAsia="Times New Roman" w:hAnsi="Times New Roman" w:cs="Times New Roman"/>
          <w:b/>
          <w:lang w:eastAsia="ar-SA"/>
        </w:rPr>
      </w:pPr>
      <w:r w:rsidRPr="002E71D2">
        <w:rPr>
          <w:rFonts w:ascii="Times New Roman" w:eastAsia="Times New Roman" w:hAnsi="Times New Roman" w:cs="Times New Roman"/>
          <w:b/>
          <w:lang w:eastAsia="ar-SA"/>
        </w:rPr>
        <w:t>I – RELATÓRIO</w:t>
      </w:r>
    </w:p>
    <w:p w:rsidR="00C72ECA" w:rsidRPr="002E71D2" w:rsidRDefault="00C72ECA" w:rsidP="00065296">
      <w:pPr>
        <w:widowControl w:val="0"/>
        <w:autoSpaceDE w:val="0"/>
        <w:spacing w:after="0" w:line="360" w:lineRule="auto"/>
        <w:ind w:right="-1"/>
        <w:jc w:val="both"/>
        <w:rPr>
          <w:rFonts w:ascii="Times New Roman" w:eastAsia="Times New Roman" w:hAnsi="Times New Roman" w:cs="Times New Roman"/>
          <w:b/>
          <w:lang w:eastAsia="ar-SA"/>
        </w:rPr>
      </w:pPr>
    </w:p>
    <w:p w:rsidR="00727B8A" w:rsidRPr="002E71D2" w:rsidRDefault="00BD284F" w:rsidP="00065296">
      <w:pPr>
        <w:widowControl w:val="0"/>
        <w:autoSpaceDE w:val="0"/>
        <w:spacing w:after="0" w:line="360" w:lineRule="auto"/>
        <w:ind w:right="-1" w:firstLine="708"/>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t xml:space="preserve"> A consulente,</w:t>
      </w:r>
      <w:r w:rsidR="009735DC" w:rsidRPr="002E71D2">
        <w:rPr>
          <w:rFonts w:ascii="Times New Roman" w:eastAsia="Times New Roman" w:hAnsi="Times New Roman" w:cs="Times New Roman"/>
          <w:lang w:eastAsia="ar-SA"/>
        </w:rPr>
        <w:t xml:space="preserve"> </w:t>
      </w:r>
      <w:r w:rsidR="00727B8A" w:rsidRPr="002E71D2">
        <w:rPr>
          <w:rFonts w:ascii="Times New Roman" w:eastAsia="Times New Roman" w:hAnsi="Times New Roman" w:cs="Times New Roman"/>
          <w:lang w:eastAsia="ar-SA"/>
        </w:rPr>
        <w:t xml:space="preserve">com sede no município do Rio de Janeiro, acima identificada, </w:t>
      </w:r>
      <w:r w:rsidRPr="002E71D2">
        <w:rPr>
          <w:rFonts w:ascii="Times New Roman" w:eastAsia="Times New Roman" w:hAnsi="Times New Roman" w:cs="Times New Roman"/>
          <w:lang w:eastAsia="ar-SA"/>
        </w:rPr>
        <w:t>vem solicitar esclarecimentos desta Superintendência de Tributação acerca</w:t>
      </w:r>
      <w:r w:rsidR="00AB3C57" w:rsidRPr="002E71D2">
        <w:rPr>
          <w:rFonts w:ascii="Times New Roman" w:eastAsia="Times New Roman" w:hAnsi="Times New Roman" w:cs="Times New Roman"/>
          <w:lang w:eastAsia="ar-SA"/>
        </w:rPr>
        <w:t xml:space="preserve"> </w:t>
      </w:r>
      <w:r w:rsidR="009177BA" w:rsidRPr="002E71D2">
        <w:rPr>
          <w:rFonts w:ascii="Times New Roman" w:eastAsia="Times New Roman" w:hAnsi="Times New Roman" w:cs="Times New Roman"/>
          <w:lang w:eastAsia="ar-SA"/>
        </w:rPr>
        <w:t>d</w:t>
      </w:r>
      <w:r w:rsidR="00202ED0" w:rsidRPr="002E71D2">
        <w:rPr>
          <w:rFonts w:ascii="Times New Roman" w:eastAsia="Times New Roman" w:hAnsi="Times New Roman" w:cs="Times New Roman"/>
          <w:lang w:eastAsia="ar-SA"/>
        </w:rPr>
        <w:t xml:space="preserve">a </w:t>
      </w:r>
      <w:r w:rsidR="00727B8A" w:rsidRPr="002E71D2">
        <w:rPr>
          <w:rFonts w:ascii="Times New Roman" w:eastAsia="Times New Roman" w:hAnsi="Times New Roman" w:cs="Times New Roman"/>
          <w:lang w:eastAsia="ar-SA"/>
        </w:rPr>
        <w:t xml:space="preserve">responsabilidade tributária atribuída </w:t>
      </w:r>
      <w:proofErr w:type="gramStart"/>
      <w:r w:rsidR="00727B8A" w:rsidRPr="002E71D2">
        <w:rPr>
          <w:rFonts w:ascii="Times New Roman" w:eastAsia="Times New Roman" w:hAnsi="Times New Roman" w:cs="Times New Roman"/>
          <w:lang w:eastAsia="ar-SA"/>
        </w:rPr>
        <w:t>a promotores</w:t>
      </w:r>
      <w:proofErr w:type="gramEnd"/>
      <w:r w:rsidR="00727B8A" w:rsidRPr="002E71D2">
        <w:rPr>
          <w:rFonts w:ascii="Times New Roman" w:eastAsia="Times New Roman" w:hAnsi="Times New Roman" w:cs="Times New Roman"/>
          <w:lang w:eastAsia="ar-SA"/>
        </w:rPr>
        <w:t xml:space="preserve"> de eventos e feiras, em relação ao imposto devido pelos expositores. </w:t>
      </w:r>
    </w:p>
    <w:p w:rsidR="00727B8A" w:rsidRPr="002E71D2" w:rsidRDefault="00727B8A" w:rsidP="00065296">
      <w:pPr>
        <w:widowControl w:val="0"/>
        <w:autoSpaceDE w:val="0"/>
        <w:spacing w:after="0" w:line="360" w:lineRule="auto"/>
        <w:ind w:right="-1" w:firstLine="708"/>
        <w:jc w:val="both"/>
        <w:rPr>
          <w:rFonts w:ascii="Times New Roman" w:eastAsia="Times New Roman" w:hAnsi="Times New Roman" w:cs="Times New Roman"/>
          <w:lang w:eastAsia="ar-SA"/>
        </w:rPr>
      </w:pPr>
    </w:p>
    <w:p w:rsidR="00CA3D38" w:rsidRPr="002E71D2" w:rsidRDefault="00BD284F" w:rsidP="00065296">
      <w:pPr>
        <w:widowControl w:val="0"/>
        <w:autoSpaceDE w:val="0"/>
        <w:spacing w:after="0" w:line="360" w:lineRule="auto"/>
        <w:ind w:right="-1" w:firstLine="708"/>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t>O processo encontra-se instruído com cópias reprográficas que comprovam</w:t>
      </w:r>
      <w:r w:rsidR="009735DC" w:rsidRPr="002E71D2">
        <w:rPr>
          <w:rFonts w:ascii="Times New Roman" w:eastAsia="Times New Roman" w:hAnsi="Times New Roman" w:cs="Times New Roman"/>
          <w:lang w:eastAsia="ar-SA"/>
        </w:rPr>
        <w:t xml:space="preserve"> a</w:t>
      </w:r>
      <w:r w:rsidRPr="002E71D2">
        <w:rPr>
          <w:rFonts w:ascii="Times New Roman" w:eastAsia="Times New Roman" w:hAnsi="Times New Roman" w:cs="Times New Roman"/>
          <w:lang w:eastAsia="ar-SA"/>
        </w:rPr>
        <w:t xml:space="preserve"> habilitação do</w:t>
      </w:r>
      <w:r w:rsidR="009735DC" w:rsidRPr="002E71D2">
        <w:rPr>
          <w:rFonts w:ascii="Times New Roman" w:eastAsia="Times New Roman" w:hAnsi="Times New Roman" w:cs="Times New Roman"/>
          <w:lang w:eastAsia="ar-SA"/>
        </w:rPr>
        <w:t>s</w:t>
      </w:r>
      <w:r w:rsidRPr="002E71D2">
        <w:rPr>
          <w:rFonts w:ascii="Times New Roman" w:eastAsia="Times New Roman" w:hAnsi="Times New Roman" w:cs="Times New Roman"/>
          <w:lang w:eastAsia="ar-SA"/>
        </w:rPr>
        <w:t xml:space="preserve"> signatário</w:t>
      </w:r>
      <w:r w:rsidR="009735DC" w:rsidRPr="002E71D2">
        <w:rPr>
          <w:rFonts w:ascii="Times New Roman" w:eastAsia="Times New Roman" w:hAnsi="Times New Roman" w:cs="Times New Roman"/>
          <w:lang w:eastAsia="ar-SA"/>
        </w:rPr>
        <w:t>s</w:t>
      </w:r>
      <w:r w:rsidRPr="002E71D2">
        <w:rPr>
          <w:rFonts w:ascii="Times New Roman" w:eastAsia="Times New Roman" w:hAnsi="Times New Roman" w:cs="Times New Roman"/>
          <w:lang w:eastAsia="ar-SA"/>
        </w:rPr>
        <w:t xml:space="preserve"> da inicial para peticionar em nome da empresa</w:t>
      </w:r>
      <w:r w:rsidR="009735DC" w:rsidRPr="002E71D2">
        <w:rPr>
          <w:rFonts w:ascii="Times New Roman" w:eastAsia="Times New Roman" w:hAnsi="Times New Roman" w:cs="Times New Roman"/>
          <w:lang w:eastAsia="ar-SA"/>
        </w:rPr>
        <w:t>: cópia autenticada do Estatuto do Banco da Providência</w:t>
      </w:r>
      <w:r w:rsidR="00AB3C57" w:rsidRPr="002E71D2">
        <w:rPr>
          <w:rFonts w:ascii="Times New Roman" w:eastAsia="Times New Roman" w:hAnsi="Times New Roman" w:cs="Times New Roman"/>
          <w:lang w:eastAsia="ar-SA"/>
        </w:rPr>
        <w:t xml:space="preserve"> (fls. </w:t>
      </w:r>
      <w:r w:rsidR="009735DC" w:rsidRPr="002E71D2">
        <w:rPr>
          <w:rFonts w:ascii="Times New Roman" w:eastAsia="Times New Roman" w:hAnsi="Times New Roman" w:cs="Times New Roman"/>
          <w:lang w:eastAsia="ar-SA"/>
        </w:rPr>
        <w:t>17</w:t>
      </w:r>
      <w:r w:rsidR="00120EAA" w:rsidRPr="002E71D2">
        <w:rPr>
          <w:rFonts w:ascii="Times New Roman" w:eastAsia="Times New Roman" w:hAnsi="Times New Roman" w:cs="Times New Roman"/>
          <w:lang w:eastAsia="ar-SA"/>
        </w:rPr>
        <w:t>/</w:t>
      </w:r>
      <w:r w:rsidR="009735DC" w:rsidRPr="002E71D2">
        <w:rPr>
          <w:rFonts w:ascii="Times New Roman" w:eastAsia="Times New Roman" w:hAnsi="Times New Roman" w:cs="Times New Roman"/>
          <w:lang w:eastAsia="ar-SA"/>
        </w:rPr>
        <w:t xml:space="preserve">27), cópia não autenticada de procuração </w:t>
      </w:r>
      <w:r w:rsidR="00CA3D38" w:rsidRPr="002E71D2">
        <w:rPr>
          <w:rFonts w:ascii="Times New Roman" w:eastAsia="Times New Roman" w:hAnsi="Times New Roman" w:cs="Times New Roman"/>
          <w:lang w:eastAsia="ar-SA"/>
        </w:rPr>
        <w:t>cuja assinatura foi reconhecida, por semelhança, com a da Diretora Geral da instituição (fls. 29), e cópias não autenticadas das carteiras da Ordem dos Advogados do Brasil – OAB dos quatro signatários da petição (fls. 29/32). O presente foi protocolado na ARF 64.10 – Centro.</w:t>
      </w:r>
    </w:p>
    <w:p w:rsidR="00CA3D38" w:rsidRPr="002E71D2" w:rsidRDefault="00CA3D38" w:rsidP="00065296">
      <w:pPr>
        <w:widowControl w:val="0"/>
        <w:autoSpaceDE w:val="0"/>
        <w:spacing w:after="0" w:line="360" w:lineRule="auto"/>
        <w:ind w:right="-1" w:firstLine="708"/>
        <w:jc w:val="both"/>
        <w:rPr>
          <w:rFonts w:ascii="Times New Roman" w:eastAsia="Times New Roman" w:hAnsi="Times New Roman" w:cs="Times New Roman"/>
          <w:lang w:eastAsia="ar-SA"/>
        </w:rPr>
      </w:pPr>
    </w:p>
    <w:p w:rsidR="009735DC" w:rsidRPr="002E71D2" w:rsidRDefault="00CA3D38" w:rsidP="00065296">
      <w:pPr>
        <w:widowControl w:val="0"/>
        <w:autoSpaceDE w:val="0"/>
        <w:spacing w:after="0" w:line="360" w:lineRule="auto"/>
        <w:ind w:right="-1" w:firstLine="708"/>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t xml:space="preserve">Não consta comprovante de pagamento da Taxa de Serviços Estaduais. A consulente inicia sua petição, argumentando que não </w:t>
      </w:r>
      <w:r w:rsidR="0006098C" w:rsidRPr="002E71D2">
        <w:rPr>
          <w:rFonts w:ascii="Times New Roman" w:eastAsia="Times New Roman" w:hAnsi="Times New Roman" w:cs="Times New Roman"/>
          <w:lang w:eastAsia="ar-SA"/>
        </w:rPr>
        <w:t xml:space="preserve">se encontra </w:t>
      </w:r>
      <w:proofErr w:type="gramStart"/>
      <w:r w:rsidRPr="002E71D2">
        <w:rPr>
          <w:rFonts w:ascii="Times New Roman" w:eastAsia="Times New Roman" w:hAnsi="Times New Roman" w:cs="Times New Roman"/>
          <w:lang w:eastAsia="ar-SA"/>
        </w:rPr>
        <w:t>sob ação</w:t>
      </w:r>
      <w:proofErr w:type="gramEnd"/>
      <w:r w:rsidRPr="002E71D2">
        <w:rPr>
          <w:rFonts w:ascii="Times New Roman" w:eastAsia="Times New Roman" w:hAnsi="Times New Roman" w:cs="Times New Roman"/>
          <w:lang w:eastAsia="ar-SA"/>
        </w:rPr>
        <w:t xml:space="preserve"> fiscal e que seria isenta desta TSE, em decorrência de enquadramento nas condições dadas pelo Inciso III do parágrafo único do artigo</w:t>
      </w:r>
      <w:r w:rsidR="0006098C" w:rsidRPr="002E71D2">
        <w:rPr>
          <w:rFonts w:ascii="Times New Roman" w:eastAsia="Times New Roman" w:hAnsi="Times New Roman" w:cs="Times New Roman"/>
          <w:lang w:eastAsia="ar-SA"/>
        </w:rPr>
        <w:t xml:space="preserve"> 106 do Decreto-Lei n.º 05/1975 – o </w:t>
      </w:r>
      <w:r w:rsidR="00381BB9" w:rsidRPr="002E71D2">
        <w:rPr>
          <w:rFonts w:ascii="Times New Roman" w:eastAsia="Times New Roman" w:hAnsi="Times New Roman" w:cs="Times New Roman"/>
          <w:lang w:eastAsia="ar-SA"/>
        </w:rPr>
        <w:t>Código T</w:t>
      </w:r>
      <w:r w:rsidR="0006098C" w:rsidRPr="002E71D2">
        <w:rPr>
          <w:rFonts w:ascii="Times New Roman" w:eastAsia="Times New Roman" w:hAnsi="Times New Roman" w:cs="Times New Roman"/>
          <w:lang w:eastAsia="ar-SA"/>
        </w:rPr>
        <w:t>ributário do estado do Rio de Janeiro</w:t>
      </w:r>
      <w:r w:rsidR="00381BB9" w:rsidRPr="002E71D2">
        <w:rPr>
          <w:rFonts w:ascii="Times New Roman" w:eastAsia="Times New Roman" w:hAnsi="Times New Roman" w:cs="Times New Roman"/>
          <w:lang w:eastAsia="ar-SA"/>
        </w:rPr>
        <w:t>- CTE</w:t>
      </w:r>
      <w:r w:rsidR="0006098C" w:rsidRPr="002E71D2">
        <w:rPr>
          <w:rFonts w:ascii="Times New Roman" w:eastAsia="Times New Roman" w:hAnsi="Times New Roman" w:cs="Times New Roman"/>
          <w:lang w:eastAsia="ar-SA"/>
        </w:rPr>
        <w:t xml:space="preserve">. De acordo com o dispositivo citado, o reconhecimento da isenção da TSE depende dos requisitos estatutários definidos no parágrafo 4º do artigo 3º do mesmo Decreto-Lei. </w:t>
      </w:r>
      <w:r w:rsidR="00381BB9" w:rsidRPr="002E71D2">
        <w:rPr>
          <w:rFonts w:ascii="Times New Roman" w:eastAsia="Times New Roman" w:hAnsi="Times New Roman" w:cs="Times New Roman"/>
          <w:lang w:eastAsia="ar-SA"/>
        </w:rPr>
        <w:t xml:space="preserve">Entendemos que a repartição fiscal deveria ter analisado a pertinência das afirmações e se o </w:t>
      </w:r>
      <w:r w:rsidR="00381BB9" w:rsidRPr="002E71D2">
        <w:rPr>
          <w:rFonts w:ascii="Times New Roman" w:eastAsia="Times New Roman" w:hAnsi="Times New Roman" w:cs="Times New Roman"/>
          <w:lang w:eastAsia="ar-SA"/>
        </w:rPr>
        <w:lastRenderedPageBreak/>
        <w:t xml:space="preserve">presente poderia prosperar sem o comprovante de pagamento da TSE. Como não o fez, e, em virtude do tempo já decorrido, faremos aqui mesmo. </w:t>
      </w:r>
    </w:p>
    <w:p w:rsidR="00381BB9" w:rsidRPr="002E71D2" w:rsidRDefault="00381BB9" w:rsidP="00065296">
      <w:pPr>
        <w:widowControl w:val="0"/>
        <w:autoSpaceDE w:val="0"/>
        <w:spacing w:after="0" w:line="360" w:lineRule="auto"/>
        <w:ind w:right="-1" w:firstLine="708"/>
        <w:jc w:val="both"/>
        <w:rPr>
          <w:rFonts w:ascii="Times New Roman" w:eastAsia="Times New Roman" w:hAnsi="Times New Roman" w:cs="Times New Roman"/>
          <w:lang w:eastAsia="ar-SA"/>
        </w:rPr>
      </w:pPr>
    </w:p>
    <w:p w:rsidR="009C492B" w:rsidRPr="002E71D2" w:rsidRDefault="00F17CDD" w:rsidP="00065296">
      <w:pPr>
        <w:widowControl w:val="0"/>
        <w:autoSpaceDE w:val="0"/>
        <w:spacing w:after="0" w:line="360" w:lineRule="auto"/>
        <w:ind w:right="-1" w:firstLine="708"/>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tab/>
        <w:t>A consulente reproduz o parágrafo 4º do artigo 3º do Decreto-Lei n.º 05/1975</w:t>
      </w:r>
      <w:r w:rsidR="009C492B" w:rsidRPr="002E71D2">
        <w:rPr>
          <w:rFonts w:ascii="Times New Roman" w:eastAsia="Times New Roman" w:hAnsi="Times New Roman" w:cs="Times New Roman"/>
          <w:lang w:eastAsia="ar-SA"/>
        </w:rPr>
        <w:t xml:space="preserve"> (fls. 04/05)</w:t>
      </w:r>
      <w:r w:rsidRPr="002E71D2">
        <w:rPr>
          <w:rFonts w:ascii="Times New Roman" w:eastAsia="Times New Roman" w:hAnsi="Times New Roman" w:cs="Times New Roman"/>
          <w:lang w:eastAsia="ar-SA"/>
        </w:rPr>
        <w:t>,</w:t>
      </w:r>
      <w:r w:rsidR="009C492B" w:rsidRPr="002E71D2">
        <w:rPr>
          <w:rFonts w:ascii="Times New Roman" w:eastAsia="Times New Roman" w:hAnsi="Times New Roman" w:cs="Times New Roman"/>
          <w:lang w:eastAsia="ar-SA"/>
        </w:rPr>
        <w:t xml:space="preserve"> argumentando que os</w:t>
      </w:r>
      <w:r w:rsidRPr="002E71D2">
        <w:rPr>
          <w:rFonts w:ascii="Times New Roman" w:eastAsia="Times New Roman" w:hAnsi="Times New Roman" w:cs="Times New Roman"/>
          <w:lang w:eastAsia="ar-SA"/>
        </w:rPr>
        <w:t xml:space="preserve"> requisitos estatutários para o reconhecimento da isenção (</w:t>
      </w:r>
      <w:r w:rsidR="009C492B" w:rsidRPr="002E71D2">
        <w:rPr>
          <w:rFonts w:ascii="Times New Roman" w:eastAsia="Times New Roman" w:hAnsi="Times New Roman" w:cs="Times New Roman"/>
          <w:lang w:eastAsia="ar-SA"/>
        </w:rPr>
        <w:t>imunidade, pelo texto legal) foram cumpridos</w:t>
      </w:r>
      <w:r w:rsidR="00CD3377" w:rsidRPr="002E71D2">
        <w:rPr>
          <w:rFonts w:ascii="Times New Roman" w:eastAsia="Times New Roman" w:hAnsi="Times New Roman" w:cs="Times New Roman"/>
          <w:lang w:eastAsia="ar-SA"/>
        </w:rPr>
        <w:t>, da seguinte forma:</w:t>
      </w:r>
    </w:p>
    <w:p w:rsidR="009C492B" w:rsidRPr="002E71D2" w:rsidRDefault="009C492B" w:rsidP="00065296">
      <w:pPr>
        <w:widowControl w:val="0"/>
        <w:autoSpaceDE w:val="0"/>
        <w:spacing w:after="0" w:line="360" w:lineRule="auto"/>
        <w:ind w:right="-1" w:firstLine="708"/>
        <w:jc w:val="both"/>
        <w:rPr>
          <w:rFonts w:ascii="Times New Roman" w:eastAsia="Times New Roman" w:hAnsi="Times New Roman" w:cs="Times New Roman"/>
          <w:lang w:eastAsia="ar-SA"/>
        </w:rPr>
      </w:pPr>
    </w:p>
    <w:p w:rsidR="009C492B" w:rsidRPr="002E71D2" w:rsidRDefault="009C492B" w:rsidP="00065296">
      <w:pPr>
        <w:widowControl w:val="0"/>
        <w:autoSpaceDE w:val="0"/>
        <w:spacing w:after="0" w:line="360" w:lineRule="auto"/>
        <w:ind w:right="-1" w:firstLine="708"/>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t>- alínea “a” pelo disposto no artigo 4º do Estatuto;</w:t>
      </w:r>
    </w:p>
    <w:p w:rsidR="00CA3D38" w:rsidRPr="002E71D2" w:rsidRDefault="009C492B" w:rsidP="00065296">
      <w:pPr>
        <w:widowControl w:val="0"/>
        <w:autoSpaceDE w:val="0"/>
        <w:spacing w:after="0" w:line="360" w:lineRule="auto"/>
        <w:ind w:right="-1" w:firstLine="708"/>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t xml:space="preserve">- alíneas “b”, “c”, “d” e “e” pelo disposto no artigo 5º e seus parágrafos do Estatuto; </w:t>
      </w:r>
      <w:proofErr w:type="gramStart"/>
      <w:r w:rsidRPr="002E71D2">
        <w:rPr>
          <w:rFonts w:ascii="Times New Roman" w:eastAsia="Times New Roman" w:hAnsi="Times New Roman" w:cs="Times New Roman"/>
          <w:lang w:eastAsia="ar-SA"/>
        </w:rPr>
        <w:t>e</w:t>
      </w:r>
      <w:proofErr w:type="gramEnd"/>
      <w:r w:rsidRPr="002E71D2">
        <w:rPr>
          <w:rFonts w:ascii="Times New Roman" w:eastAsia="Times New Roman" w:hAnsi="Times New Roman" w:cs="Times New Roman"/>
          <w:lang w:eastAsia="ar-SA"/>
        </w:rPr>
        <w:t xml:space="preserve"> </w:t>
      </w:r>
    </w:p>
    <w:p w:rsidR="009C492B" w:rsidRPr="002E71D2" w:rsidRDefault="009C492B" w:rsidP="00065296">
      <w:pPr>
        <w:widowControl w:val="0"/>
        <w:autoSpaceDE w:val="0"/>
        <w:spacing w:after="0" w:line="360" w:lineRule="auto"/>
        <w:ind w:right="-1" w:firstLine="708"/>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t>- alínea “f” pelo disposto no parágrafo único do artigo 16 do Estatuto.</w:t>
      </w:r>
    </w:p>
    <w:p w:rsidR="009C492B" w:rsidRPr="002E71D2" w:rsidRDefault="009C492B" w:rsidP="00065296">
      <w:pPr>
        <w:widowControl w:val="0"/>
        <w:autoSpaceDE w:val="0"/>
        <w:spacing w:after="0" w:line="360" w:lineRule="auto"/>
        <w:ind w:right="-1" w:firstLine="708"/>
        <w:jc w:val="both"/>
        <w:rPr>
          <w:rFonts w:ascii="Times New Roman" w:eastAsia="Times New Roman" w:hAnsi="Times New Roman" w:cs="Times New Roman"/>
          <w:lang w:eastAsia="ar-SA"/>
        </w:rPr>
      </w:pPr>
    </w:p>
    <w:p w:rsidR="009C492B" w:rsidRPr="002E71D2" w:rsidRDefault="009C492B" w:rsidP="00065296">
      <w:pPr>
        <w:widowControl w:val="0"/>
        <w:autoSpaceDE w:val="0"/>
        <w:spacing w:after="0" w:line="360" w:lineRule="auto"/>
        <w:ind w:right="-1" w:firstLine="708"/>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t>Analisando a cópia do Estatuto,</w:t>
      </w:r>
      <w:r w:rsidR="00CD3377" w:rsidRPr="002E71D2">
        <w:rPr>
          <w:rFonts w:ascii="Times New Roman" w:eastAsia="Times New Roman" w:hAnsi="Times New Roman" w:cs="Times New Roman"/>
          <w:lang w:eastAsia="ar-SA"/>
        </w:rPr>
        <w:t xml:space="preserve"> </w:t>
      </w:r>
      <w:r w:rsidRPr="002E71D2">
        <w:rPr>
          <w:rFonts w:ascii="Times New Roman" w:eastAsia="Times New Roman" w:hAnsi="Times New Roman" w:cs="Times New Roman"/>
          <w:lang w:eastAsia="ar-SA"/>
        </w:rPr>
        <w:t>juntada às fls. 17/27, concluímos que podemos aceitar a argumentação da consulente quanto à isenção da TSE.</w:t>
      </w:r>
      <w:r w:rsidR="00AC7240" w:rsidRPr="002E71D2">
        <w:rPr>
          <w:rFonts w:ascii="Times New Roman" w:eastAsia="Times New Roman" w:hAnsi="Times New Roman" w:cs="Times New Roman"/>
          <w:lang w:eastAsia="ar-SA"/>
        </w:rPr>
        <w:t xml:space="preserve"> Assim como</w:t>
      </w:r>
      <w:r w:rsidR="006C29B7" w:rsidRPr="002E71D2">
        <w:rPr>
          <w:rFonts w:ascii="Times New Roman" w:eastAsia="Times New Roman" w:hAnsi="Times New Roman" w:cs="Times New Roman"/>
          <w:lang w:eastAsia="ar-SA"/>
        </w:rPr>
        <w:t xml:space="preserve">, </w:t>
      </w:r>
      <w:r w:rsidR="00AC7240" w:rsidRPr="002E71D2">
        <w:rPr>
          <w:rFonts w:ascii="Times New Roman" w:eastAsia="Times New Roman" w:hAnsi="Times New Roman" w:cs="Times New Roman"/>
          <w:lang w:eastAsia="ar-SA"/>
        </w:rPr>
        <w:t>é de conhecimento público o caráter social, assistencialista e filantrópico da instituição Banco da Providência.</w:t>
      </w:r>
    </w:p>
    <w:p w:rsidR="00CA3D38" w:rsidRPr="002E71D2" w:rsidRDefault="00CA3D38" w:rsidP="00065296">
      <w:pPr>
        <w:widowControl w:val="0"/>
        <w:autoSpaceDE w:val="0"/>
        <w:spacing w:after="0" w:line="360" w:lineRule="auto"/>
        <w:ind w:right="-1" w:firstLine="708"/>
        <w:jc w:val="both"/>
        <w:rPr>
          <w:rFonts w:ascii="Times New Roman" w:eastAsia="Times New Roman" w:hAnsi="Times New Roman" w:cs="Times New Roman"/>
          <w:lang w:eastAsia="ar-SA"/>
        </w:rPr>
      </w:pPr>
    </w:p>
    <w:p w:rsidR="00CA1A0E" w:rsidRPr="002E71D2" w:rsidRDefault="000A2356" w:rsidP="00065296">
      <w:pPr>
        <w:widowControl w:val="0"/>
        <w:autoSpaceDE w:val="0"/>
        <w:spacing w:after="0" w:line="360" w:lineRule="auto"/>
        <w:ind w:right="-1" w:firstLine="708"/>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t xml:space="preserve">Afastada a questão da TSE, a </w:t>
      </w:r>
      <w:r w:rsidR="00AC7240" w:rsidRPr="002E71D2">
        <w:rPr>
          <w:rFonts w:ascii="Times New Roman" w:eastAsia="Times New Roman" w:hAnsi="Times New Roman" w:cs="Times New Roman"/>
          <w:lang w:eastAsia="ar-SA"/>
        </w:rPr>
        <w:t xml:space="preserve">consulente afirma que foi lavrado um Auto de Constatação, </w:t>
      </w:r>
      <w:r w:rsidRPr="002E71D2">
        <w:rPr>
          <w:rFonts w:ascii="Times New Roman" w:eastAsia="Times New Roman" w:hAnsi="Times New Roman" w:cs="Times New Roman"/>
          <w:lang w:eastAsia="ar-SA"/>
        </w:rPr>
        <w:t>no momento em que protocolou o ofício, destinado a SEFAZ/RJ, cuja cópia constitui a folha 35 do presente, referente a pedido de concessão de redução de base de cálculo do ICMS incidente nas operações que seriam praticadas na edição de 2016 da Feira da Providência (marcada para ocorrer de 30/11/16 a 04/12/16). Este ofício teria originado o Processo E-04/073/114/2016, e a empresa afirma que não foi cientificada de eventual decisão até a formalização da presente Consulta Tributária</w:t>
      </w:r>
      <w:r w:rsidR="006C29B7" w:rsidRPr="002E71D2">
        <w:rPr>
          <w:rFonts w:ascii="Times New Roman" w:eastAsia="Times New Roman" w:hAnsi="Times New Roman" w:cs="Times New Roman"/>
          <w:lang w:eastAsia="ar-SA"/>
        </w:rPr>
        <w:t xml:space="preserve"> (em fevereiro de 2017)</w:t>
      </w:r>
      <w:r w:rsidRPr="002E71D2">
        <w:rPr>
          <w:rFonts w:ascii="Times New Roman" w:eastAsia="Times New Roman" w:hAnsi="Times New Roman" w:cs="Times New Roman"/>
          <w:lang w:eastAsia="ar-SA"/>
        </w:rPr>
        <w:t xml:space="preserve">. </w:t>
      </w:r>
      <w:r w:rsidR="00FB1BF5" w:rsidRPr="002E71D2">
        <w:rPr>
          <w:rFonts w:ascii="Times New Roman" w:eastAsia="Times New Roman" w:hAnsi="Times New Roman" w:cs="Times New Roman"/>
          <w:lang w:eastAsia="ar-SA"/>
        </w:rPr>
        <w:t xml:space="preserve">Não consta, no presente, cópia do alegado Auto de Constatação. Quanto ao administrativo citado, </w:t>
      </w:r>
      <w:r w:rsidR="006C29B7" w:rsidRPr="002E71D2">
        <w:rPr>
          <w:rFonts w:ascii="Times New Roman" w:eastAsia="Times New Roman" w:hAnsi="Times New Roman" w:cs="Times New Roman"/>
          <w:lang w:eastAsia="ar-SA"/>
        </w:rPr>
        <w:t>efetuamos uma pesquisa (no dia 23/10/2017) nos sistemas de controle de processos, e o mesmo, atualmente, encontra-se arquivado na Divisão de Arquivo, desde 17/07/2017, tendo passado por esta Superintendência</w:t>
      </w:r>
      <w:r w:rsidR="005E333D" w:rsidRPr="002E71D2">
        <w:rPr>
          <w:rFonts w:ascii="Times New Roman" w:eastAsia="Times New Roman" w:hAnsi="Times New Roman" w:cs="Times New Roman"/>
          <w:lang w:eastAsia="ar-SA"/>
        </w:rPr>
        <w:t>, na Coordenadoria de Estudos e Legislação Tributária – CELT,</w:t>
      </w:r>
      <w:r w:rsidR="006C29B7" w:rsidRPr="002E71D2">
        <w:rPr>
          <w:rFonts w:ascii="Times New Roman" w:eastAsia="Times New Roman" w:hAnsi="Times New Roman" w:cs="Times New Roman"/>
          <w:lang w:eastAsia="ar-SA"/>
        </w:rPr>
        <w:t xml:space="preserve"> em duas oca</w:t>
      </w:r>
      <w:r w:rsidR="00845979" w:rsidRPr="002E71D2">
        <w:rPr>
          <w:rFonts w:ascii="Times New Roman" w:eastAsia="Times New Roman" w:hAnsi="Times New Roman" w:cs="Times New Roman"/>
          <w:lang w:eastAsia="ar-SA"/>
        </w:rPr>
        <w:t xml:space="preserve">siões. Na primeira foi efetuado um parecer </w:t>
      </w:r>
      <w:r w:rsidR="00B57918" w:rsidRPr="002E71D2">
        <w:rPr>
          <w:rFonts w:ascii="Times New Roman" w:eastAsia="Times New Roman" w:hAnsi="Times New Roman" w:cs="Times New Roman"/>
          <w:lang w:eastAsia="ar-SA"/>
        </w:rPr>
        <w:t xml:space="preserve">(Parecer/ST/CELT/Nº 132/2016) </w:t>
      </w:r>
      <w:r w:rsidR="00845979" w:rsidRPr="002E71D2">
        <w:rPr>
          <w:rFonts w:ascii="Times New Roman" w:eastAsia="Times New Roman" w:hAnsi="Times New Roman" w:cs="Times New Roman"/>
          <w:lang w:eastAsia="ar-SA"/>
        </w:rPr>
        <w:t>e elaborada uma</w:t>
      </w:r>
      <w:r w:rsidR="006C29B7" w:rsidRPr="002E71D2">
        <w:rPr>
          <w:rFonts w:ascii="Times New Roman" w:eastAsia="Times New Roman" w:hAnsi="Times New Roman" w:cs="Times New Roman"/>
          <w:lang w:eastAsia="ar-SA"/>
        </w:rPr>
        <w:t xml:space="preserve"> minuta de um Decreto de concessão de isenção, e na segunda, </w:t>
      </w:r>
      <w:r w:rsidR="00845979" w:rsidRPr="002E71D2">
        <w:rPr>
          <w:rFonts w:ascii="Times New Roman" w:eastAsia="Times New Roman" w:hAnsi="Times New Roman" w:cs="Times New Roman"/>
          <w:lang w:eastAsia="ar-SA"/>
        </w:rPr>
        <w:t xml:space="preserve">o </w:t>
      </w:r>
      <w:r w:rsidR="00B57918" w:rsidRPr="002E71D2">
        <w:rPr>
          <w:rFonts w:ascii="Times New Roman" w:eastAsia="Times New Roman" w:hAnsi="Times New Roman" w:cs="Times New Roman"/>
          <w:lang w:eastAsia="ar-SA"/>
        </w:rPr>
        <w:t>Pa</w:t>
      </w:r>
      <w:r w:rsidR="00845979" w:rsidRPr="002E71D2">
        <w:rPr>
          <w:rFonts w:ascii="Times New Roman" w:eastAsia="Times New Roman" w:hAnsi="Times New Roman" w:cs="Times New Roman"/>
          <w:lang w:eastAsia="ar-SA"/>
        </w:rPr>
        <w:t>recer</w:t>
      </w:r>
      <w:r w:rsidR="00B57918" w:rsidRPr="002E71D2">
        <w:rPr>
          <w:rFonts w:ascii="Times New Roman" w:eastAsia="Times New Roman" w:hAnsi="Times New Roman" w:cs="Times New Roman"/>
          <w:lang w:eastAsia="ar-SA"/>
        </w:rPr>
        <w:t>/ST/CELT/Nº 141/2016</w:t>
      </w:r>
      <w:r w:rsidR="00845979" w:rsidRPr="002E71D2">
        <w:rPr>
          <w:rFonts w:ascii="Times New Roman" w:eastAsia="Times New Roman" w:hAnsi="Times New Roman" w:cs="Times New Roman"/>
          <w:lang w:eastAsia="ar-SA"/>
        </w:rPr>
        <w:t xml:space="preserve">, </w:t>
      </w:r>
      <w:r w:rsidR="00CA1A0E" w:rsidRPr="002E71D2">
        <w:rPr>
          <w:rFonts w:ascii="Times New Roman" w:eastAsia="Times New Roman" w:hAnsi="Times New Roman" w:cs="Times New Roman"/>
          <w:lang w:eastAsia="ar-SA"/>
        </w:rPr>
        <w:t xml:space="preserve">abaixo reproduzido, e </w:t>
      </w:r>
      <w:r w:rsidR="005E333D" w:rsidRPr="002E71D2">
        <w:rPr>
          <w:rFonts w:ascii="Times New Roman" w:eastAsia="Times New Roman" w:hAnsi="Times New Roman" w:cs="Times New Roman"/>
          <w:lang w:eastAsia="ar-SA"/>
        </w:rPr>
        <w:t>um</w:t>
      </w:r>
      <w:r w:rsidR="00CA1A0E" w:rsidRPr="002E71D2">
        <w:rPr>
          <w:rFonts w:ascii="Times New Roman" w:eastAsia="Times New Roman" w:hAnsi="Times New Roman" w:cs="Times New Roman"/>
          <w:lang w:eastAsia="ar-SA"/>
        </w:rPr>
        <w:t>a</w:t>
      </w:r>
      <w:r w:rsidR="006C29B7" w:rsidRPr="002E71D2">
        <w:rPr>
          <w:rFonts w:ascii="Times New Roman" w:eastAsia="Times New Roman" w:hAnsi="Times New Roman" w:cs="Times New Roman"/>
          <w:lang w:eastAsia="ar-SA"/>
        </w:rPr>
        <w:t xml:space="preserve"> revisão d</w:t>
      </w:r>
      <w:r w:rsidR="00CA1A0E" w:rsidRPr="002E71D2">
        <w:rPr>
          <w:rFonts w:ascii="Times New Roman" w:eastAsia="Times New Roman" w:hAnsi="Times New Roman" w:cs="Times New Roman"/>
          <w:lang w:eastAsia="ar-SA"/>
        </w:rPr>
        <w:t>a</w:t>
      </w:r>
      <w:r w:rsidR="006C29B7" w:rsidRPr="002E71D2">
        <w:rPr>
          <w:rFonts w:ascii="Times New Roman" w:eastAsia="Times New Roman" w:hAnsi="Times New Roman" w:cs="Times New Roman"/>
          <w:lang w:eastAsia="ar-SA"/>
        </w:rPr>
        <w:t xml:space="preserve"> minuta</w:t>
      </w:r>
      <w:r w:rsidR="00CA1A0E" w:rsidRPr="002E71D2">
        <w:rPr>
          <w:rFonts w:ascii="Times New Roman" w:eastAsia="Times New Roman" w:hAnsi="Times New Roman" w:cs="Times New Roman"/>
          <w:lang w:eastAsia="ar-SA"/>
        </w:rPr>
        <w:t xml:space="preserve"> de Decreto</w:t>
      </w:r>
      <w:r w:rsidR="00845979" w:rsidRPr="002E71D2">
        <w:rPr>
          <w:rFonts w:ascii="Times New Roman" w:eastAsia="Times New Roman" w:hAnsi="Times New Roman" w:cs="Times New Roman"/>
          <w:lang w:eastAsia="ar-SA"/>
        </w:rPr>
        <w:t>.</w:t>
      </w:r>
      <w:r w:rsidR="00CA1A0E" w:rsidRPr="002E71D2">
        <w:rPr>
          <w:rFonts w:ascii="Times New Roman" w:eastAsia="Times New Roman" w:hAnsi="Times New Roman" w:cs="Times New Roman"/>
          <w:lang w:eastAsia="ar-SA"/>
        </w:rPr>
        <w:t xml:space="preserve"> Apesar de não termos solicitado o desarquivamento do presente, temos conhecimento que, para o ano da edição de 2016 do evento Feira da Providência, não foi publicado ato concessivo de isenção. </w:t>
      </w:r>
    </w:p>
    <w:p w:rsidR="006C29B7" w:rsidRPr="002E71D2" w:rsidRDefault="006C29B7" w:rsidP="00065296">
      <w:pPr>
        <w:widowControl w:val="0"/>
        <w:autoSpaceDE w:val="0"/>
        <w:spacing w:after="0" w:line="360" w:lineRule="auto"/>
        <w:ind w:right="-1"/>
        <w:jc w:val="both"/>
        <w:rPr>
          <w:rFonts w:ascii="Times New Roman" w:eastAsia="Times New Roman" w:hAnsi="Times New Roman" w:cs="Times New Roman"/>
          <w:lang w:eastAsia="ar-SA"/>
        </w:rPr>
      </w:pPr>
    </w:p>
    <w:p w:rsidR="00CA1A0E" w:rsidRPr="002E71D2" w:rsidRDefault="00CA1A0E" w:rsidP="00065296">
      <w:pPr>
        <w:tabs>
          <w:tab w:val="left" w:pos="3261"/>
          <w:tab w:val="left" w:pos="4820"/>
          <w:tab w:val="right" w:pos="8505"/>
        </w:tabs>
        <w:spacing w:after="0" w:line="360" w:lineRule="auto"/>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PARECER/ST/CELT/Nº141/2016, de 10 de novembro de 2016.</w:t>
      </w:r>
    </w:p>
    <w:p w:rsidR="00CA1A0E" w:rsidRPr="002E71D2" w:rsidRDefault="00CA1A0E" w:rsidP="00065296">
      <w:pPr>
        <w:tabs>
          <w:tab w:val="left" w:pos="3261"/>
          <w:tab w:val="left" w:pos="4820"/>
          <w:tab w:val="right" w:pos="8505"/>
        </w:tabs>
        <w:spacing w:after="0" w:line="360" w:lineRule="auto"/>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PROCESSO Nº E-04/073/114//2016</w:t>
      </w:r>
    </w:p>
    <w:p w:rsidR="00CA1A0E" w:rsidRPr="002E71D2" w:rsidRDefault="00CA1A0E" w:rsidP="00065296">
      <w:pPr>
        <w:tabs>
          <w:tab w:val="left" w:pos="3261"/>
          <w:tab w:val="left" w:pos="4820"/>
          <w:tab w:val="right" w:pos="8505"/>
        </w:tabs>
        <w:spacing w:after="0" w:line="360" w:lineRule="auto"/>
        <w:rPr>
          <w:rFonts w:ascii="Times New Roman" w:eastAsiaTheme="minorEastAsia" w:hAnsi="Times New Roman" w:cs="Times New Roman"/>
          <w:i/>
          <w:lang w:eastAsia="pt-BR"/>
        </w:rPr>
      </w:pPr>
    </w:p>
    <w:p w:rsidR="00CA1A0E" w:rsidRPr="002E71D2" w:rsidRDefault="00CA1A0E" w:rsidP="00065296">
      <w:pPr>
        <w:spacing w:after="0" w:line="360" w:lineRule="auto"/>
        <w:rPr>
          <w:rFonts w:ascii="Times New Roman" w:eastAsiaTheme="minorEastAsia" w:hAnsi="Times New Roman" w:cs="Times New Roman"/>
          <w:i/>
          <w:lang w:eastAsia="pt-BR"/>
        </w:rPr>
      </w:pPr>
    </w:p>
    <w:p w:rsidR="00CA1A0E" w:rsidRPr="002E71D2" w:rsidRDefault="00CA1A0E" w:rsidP="00065296">
      <w:pPr>
        <w:spacing w:line="360" w:lineRule="auto"/>
        <w:ind w:left="1701"/>
        <w:jc w:val="both"/>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REVISÃO DE MINUTA DE DECRETO PARA CONCEDER BENEFÍCIO FISCAL PARA O EVENTO DENOMINADO FEIRA DA PROVIDÊNCIA DO ANO DE 2016. APÓS DECISÃO JUDICIAL E PARECER DA AJUR. PARECER FAVORÁVEL COM MINUTA ANEXA.</w:t>
      </w:r>
    </w:p>
    <w:p w:rsidR="00CA1A0E" w:rsidRPr="002E71D2" w:rsidRDefault="00CA1A0E" w:rsidP="00065296">
      <w:pPr>
        <w:spacing w:after="0" w:line="360" w:lineRule="auto"/>
        <w:ind w:left="2268"/>
        <w:jc w:val="both"/>
        <w:rPr>
          <w:rFonts w:ascii="Times New Roman" w:eastAsiaTheme="minorEastAsia" w:hAnsi="Times New Roman" w:cs="Times New Roman"/>
          <w:i/>
          <w:lang w:eastAsia="pt-BR"/>
        </w:rPr>
      </w:pPr>
    </w:p>
    <w:p w:rsidR="00CA1A0E" w:rsidRPr="002E71D2" w:rsidRDefault="00CA1A0E" w:rsidP="00065296">
      <w:pPr>
        <w:spacing w:after="0" w:line="360" w:lineRule="auto"/>
        <w:ind w:left="2268"/>
        <w:jc w:val="both"/>
        <w:rPr>
          <w:rFonts w:ascii="Times New Roman" w:eastAsiaTheme="minorEastAsia" w:hAnsi="Times New Roman" w:cs="Times New Roman"/>
          <w:i/>
          <w:lang w:eastAsia="pt-BR"/>
        </w:rPr>
      </w:pPr>
    </w:p>
    <w:p w:rsidR="00CA1A0E" w:rsidRPr="002E71D2" w:rsidRDefault="00E25BD9" w:rsidP="00065296">
      <w:pPr>
        <w:spacing w:line="360" w:lineRule="auto"/>
        <w:ind w:right="-671" w:firstLine="708"/>
        <w:jc w:val="center"/>
        <w:rPr>
          <w:rFonts w:ascii="Times New Roman" w:eastAsiaTheme="minorEastAsia" w:hAnsi="Times New Roman" w:cs="Times New Roman"/>
          <w:i/>
          <w:lang w:eastAsia="pt-BR"/>
        </w:rPr>
      </w:pPr>
      <w:r w:rsidRPr="002E71D2">
        <w:rPr>
          <w:rFonts w:ascii="Times New Roman" w:eastAsiaTheme="minorEastAsia" w:hAnsi="Times New Roman" w:cs="Times New Roman"/>
          <w:i/>
          <w:smallCaps/>
          <w:lang w:eastAsia="pt-BR"/>
        </w:rPr>
        <w:t>RELATÓ</w:t>
      </w:r>
      <w:r w:rsidR="00CA1A0E" w:rsidRPr="002E71D2">
        <w:rPr>
          <w:rFonts w:ascii="Times New Roman" w:eastAsiaTheme="minorEastAsia" w:hAnsi="Times New Roman" w:cs="Times New Roman"/>
          <w:i/>
          <w:smallCaps/>
          <w:lang w:eastAsia="pt-BR"/>
        </w:rPr>
        <w:t>RIO</w:t>
      </w:r>
    </w:p>
    <w:p w:rsidR="00CA1A0E" w:rsidRPr="002E71D2" w:rsidRDefault="00CA1A0E" w:rsidP="00065296">
      <w:pPr>
        <w:spacing w:line="360" w:lineRule="auto"/>
        <w:jc w:val="both"/>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ab/>
        <w:t>Trata-se de pedido do Banco da Providência para que seja concedido o benefício de redução de 100% da base de cálculo do ICMS, ou outro procedimento que achar recomendável, para o Evento denominado Feira da Providência de 2016.</w:t>
      </w:r>
    </w:p>
    <w:p w:rsidR="00CA1A0E" w:rsidRPr="002E71D2" w:rsidRDefault="00CA1A0E" w:rsidP="00065296">
      <w:pPr>
        <w:spacing w:line="360" w:lineRule="auto"/>
        <w:ind w:firstLine="708"/>
        <w:jc w:val="both"/>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Justifica seu pedido alegando que é um trabalho de promoção humana junto a milhares de famílias que vivem em situação de pobreza extrema em nossa cidade.</w:t>
      </w:r>
    </w:p>
    <w:p w:rsidR="00CA1A0E" w:rsidRPr="002E71D2" w:rsidRDefault="00CA1A0E" w:rsidP="00065296">
      <w:pPr>
        <w:spacing w:line="360" w:lineRule="auto"/>
        <w:ind w:firstLine="708"/>
        <w:jc w:val="both"/>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 xml:space="preserve">Ressalta também que há alguns anos é publicado decreto que concede aos expositores a redução de base de cálculo em 100% do ICMS. Em 2016, a Feira da Providência será realizada de 29 de novembro a 04 de dezembro, nos Pavilhões </w:t>
      </w:r>
      <w:proofErr w:type="gramStart"/>
      <w:r w:rsidRPr="002E71D2">
        <w:rPr>
          <w:rFonts w:ascii="Times New Roman" w:eastAsiaTheme="minorEastAsia" w:hAnsi="Times New Roman" w:cs="Times New Roman"/>
          <w:i/>
          <w:lang w:eastAsia="pt-BR"/>
        </w:rPr>
        <w:t>2</w:t>
      </w:r>
      <w:proofErr w:type="gramEnd"/>
      <w:r w:rsidRPr="002E71D2">
        <w:rPr>
          <w:rFonts w:ascii="Times New Roman" w:eastAsiaTheme="minorEastAsia" w:hAnsi="Times New Roman" w:cs="Times New Roman"/>
          <w:i/>
          <w:lang w:eastAsia="pt-BR"/>
        </w:rPr>
        <w:t xml:space="preserve"> e 3 do Rio Centro, na Zona Oeste da Cidade do Rio de Janeiro.</w:t>
      </w:r>
    </w:p>
    <w:p w:rsidR="00CA1A0E" w:rsidRPr="002E71D2" w:rsidRDefault="00CA1A0E" w:rsidP="00065296">
      <w:pPr>
        <w:spacing w:line="360" w:lineRule="auto"/>
        <w:jc w:val="both"/>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ab/>
        <w:t>É o relatório.</w:t>
      </w:r>
    </w:p>
    <w:p w:rsidR="00CA1A0E" w:rsidRPr="002E71D2" w:rsidRDefault="00CA1A0E" w:rsidP="00065296">
      <w:pPr>
        <w:spacing w:line="360" w:lineRule="auto"/>
        <w:jc w:val="center"/>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II – ANÁLISE E FUNDAMENTAÇÃO</w:t>
      </w:r>
    </w:p>
    <w:p w:rsidR="00CA1A0E" w:rsidRPr="002E71D2" w:rsidRDefault="00CA1A0E" w:rsidP="00065296">
      <w:pPr>
        <w:spacing w:line="360" w:lineRule="auto"/>
        <w:ind w:firstLine="708"/>
        <w:jc w:val="both"/>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 xml:space="preserve">O Evento Feira da Providência é realizado na Cidade do Rio de Janeiro com finalidade beneficente há mais de 50 anos, em que seus organizadores declaram que a renda auferida é revertida para diversos programas sociais existentes nesta cidade. </w:t>
      </w:r>
    </w:p>
    <w:p w:rsidR="00CA1A0E" w:rsidRPr="002E71D2" w:rsidRDefault="00CA1A0E" w:rsidP="00065296">
      <w:pPr>
        <w:spacing w:line="360" w:lineRule="auto"/>
        <w:ind w:firstLine="708"/>
        <w:jc w:val="both"/>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lastRenderedPageBreak/>
        <w:t xml:space="preserve">Tendo em vista a inexistência de previsão legal concedendo tal benefício, sugerimos que a Administração Superior proponha a edição de um convênio ICMS, aprovado pelo CONFAZ, para atender as exigências do art. 155, § 2º, inc. </w:t>
      </w:r>
      <w:proofErr w:type="gramStart"/>
      <w:r w:rsidRPr="002E71D2">
        <w:rPr>
          <w:rFonts w:ascii="Times New Roman" w:eastAsiaTheme="minorEastAsia" w:hAnsi="Times New Roman" w:cs="Times New Roman"/>
          <w:i/>
          <w:lang w:eastAsia="pt-BR"/>
        </w:rPr>
        <w:t>XII, alínea g</w:t>
      </w:r>
      <w:proofErr w:type="gramEnd"/>
      <w:r w:rsidRPr="002E71D2">
        <w:rPr>
          <w:rFonts w:ascii="Times New Roman" w:eastAsiaTheme="minorEastAsia" w:hAnsi="Times New Roman" w:cs="Times New Roman"/>
          <w:i/>
          <w:lang w:eastAsia="pt-BR"/>
        </w:rPr>
        <w:t xml:space="preserve"> da Constituição Federal.</w:t>
      </w:r>
    </w:p>
    <w:p w:rsidR="00CA1A0E" w:rsidRPr="002E71D2" w:rsidRDefault="00CA1A0E" w:rsidP="00065296">
      <w:pPr>
        <w:spacing w:line="360" w:lineRule="auto"/>
        <w:ind w:firstLine="708"/>
        <w:jc w:val="both"/>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Tal benefício de redução de 100% da base de cálculo do ICMS vem sendo concedido todos os anos pelo Governo do Estado do Rio de Janeiro por meio de decreto específico.</w:t>
      </w:r>
    </w:p>
    <w:p w:rsidR="00CA1A0E" w:rsidRPr="002E71D2" w:rsidRDefault="00CA1A0E" w:rsidP="00065296">
      <w:pPr>
        <w:spacing w:line="360" w:lineRule="auto"/>
        <w:ind w:firstLine="708"/>
        <w:jc w:val="both"/>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 xml:space="preserve">Os decretos publicados nos anos anteriores asseguram o benefício requerido tanto para as operações com mercadorias durante o evento, bem como para a importação das mesmas, exigindo o pagamento da importação das mercadorias que não forem comercializadas no evento.  </w:t>
      </w:r>
    </w:p>
    <w:p w:rsidR="00CA1A0E" w:rsidRPr="002E71D2" w:rsidRDefault="00CA1A0E" w:rsidP="00065296">
      <w:pPr>
        <w:spacing w:line="360" w:lineRule="auto"/>
        <w:ind w:firstLine="708"/>
        <w:jc w:val="both"/>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Deve ser ressaltado que, este ano, a concessão do benefício só atenderá aos artesãos pessoas físicas ou os que se reinam sob a forma de cooperativa.</w:t>
      </w:r>
    </w:p>
    <w:p w:rsidR="00CA1A0E" w:rsidRPr="002E71D2" w:rsidRDefault="00CA1A0E" w:rsidP="00065296">
      <w:pPr>
        <w:spacing w:line="360" w:lineRule="auto"/>
        <w:ind w:firstLine="708"/>
        <w:jc w:val="both"/>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Tal restrição foi motivada pela decisão judicial no âmbito do processo judicial nº 0334903-24.2016.8.19.0001, da 3ª Vara de Fazenda Pública, da Comarca da Capital, bem como o disposto no Parecer da Assessoria jurídica da SEFAZ, fls. 48 a 50 deste processo.</w:t>
      </w:r>
    </w:p>
    <w:p w:rsidR="00CA1A0E" w:rsidRPr="002E71D2" w:rsidRDefault="00CA1A0E" w:rsidP="00065296">
      <w:pPr>
        <w:spacing w:line="360" w:lineRule="auto"/>
        <w:ind w:firstLine="708"/>
        <w:jc w:val="both"/>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Tendo em vista o pedido e a competência da Administração Superior, elaboro e junto uma minuta de Decreto, em papel, fl. 54 e 55 e em meio magnético, fl. 56.</w:t>
      </w:r>
    </w:p>
    <w:p w:rsidR="00CA1A0E" w:rsidRPr="002E71D2" w:rsidRDefault="00CA1A0E" w:rsidP="00065296">
      <w:pPr>
        <w:spacing w:line="360" w:lineRule="auto"/>
        <w:ind w:firstLine="708"/>
        <w:jc w:val="both"/>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A competência para decisão é do Senhor Governador do Estado do Rio de Janeiro, tendo em vista sua conveniência e oportunidade.</w:t>
      </w:r>
    </w:p>
    <w:p w:rsidR="00CA1A0E" w:rsidRPr="002E71D2" w:rsidRDefault="00CA1A0E" w:rsidP="00065296">
      <w:pPr>
        <w:spacing w:line="360" w:lineRule="auto"/>
        <w:ind w:firstLine="708"/>
        <w:jc w:val="both"/>
        <w:rPr>
          <w:rFonts w:ascii="Times New Roman" w:eastAsiaTheme="minorEastAsia" w:hAnsi="Times New Roman" w:cs="Times New Roman"/>
          <w:i/>
          <w:lang w:eastAsia="pt-BR"/>
        </w:rPr>
      </w:pPr>
    </w:p>
    <w:p w:rsidR="00CA1A0E" w:rsidRPr="002E71D2" w:rsidRDefault="00CA1A0E" w:rsidP="00065296">
      <w:pPr>
        <w:spacing w:line="360" w:lineRule="auto"/>
        <w:ind w:firstLine="706"/>
        <w:jc w:val="center"/>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CONCLUSÃO</w:t>
      </w:r>
    </w:p>
    <w:p w:rsidR="00CA1A0E" w:rsidRPr="002E71D2" w:rsidRDefault="00CA1A0E" w:rsidP="00065296">
      <w:pPr>
        <w:spacing w:line="360" w:lineRule="auto"/>
        <w:ind w:firstLine="706"/>
        <w:jc w:val="both"/>
        <w:rPr>
          <w:rFonts w:ascii="Times New Roman" w:eastAsiaTheme="minorEastAsia" w:hAnsi="Times New Roman" w:cs="Times New Roman"/>
          <w:i/>
          <w:lang w:eastAsia="pt-BR"/>
        </w:rPr>
      </w:pPr>
      <w:r w:rsidRPr="002E71D2">
        <w:rPr>
          <w:rFonts w:ascii="Times New Roman" w:eastAsiaTheme="minorEastAsia" w:hAnsi="Times New Roman" w:cs="Times New Roman"/>
          <w:i/>
          <w:lang w:eastAsia="pt-BR"/>
        </w:rPr>
        <w:t>Tendo em vista que o evento desfruta de benefício fiscal há mais de 50 anos solicito o encaminhamento do presente ao Senhor Governador do Estado para decidir.</w:t>
      </w:r>
    </w:p>
    <w:p w:rsidR="00CA1A0E" w:rsidRPr="002E71D2" w:rsidRDefault="00CA1A0E" w:rsidP="00065296">
      <w:pPr>
        <w:spacing w:after="240" w:line="360" w:lineRule="auto"/>
        <w:ind w:right="-23" w:firstLine="706"/>
        <w:rPr>
          <w:rFonts w:ascii="Times New Roman" w:eastAsiaTheme="minorEastAsia" w:hAnsi="Times New Roman" w:cs="Times New Roman"/>
          <w:bCs/>
          <w:i/>
          <w:iCs/>
          <w:lang w:eastAsia="pt-BR"/>
        </w:rPr>
      </w:pPr>
      <w:r w:rsidRPr="002E71D2">
        <w:rPr>
          <w:rFonts w:ascii="Times New Roman" w:eastAsiaTheme="minorEastAsia" w:hAnsi="Times New Roman" w:cs="Times New Roman"/>
          <w:i/>
          <w:lang w:eastAsia="pt-BR"/>
        </w:rPr>
        <w:t xml:space="preserve">Rio de Janeiro, 10 </w:t>
      </w:r>
      <w:r w:rsidRPr="002E71D2">
        <w:rPr>
          <w:rFonts w:ascii="Times New Roman" w:eastAsiaTheme="minorEastAsia" w:hAnsi="Times New Roman" w:cs="Times New Roman"/>
          <w:i/>
          <w:color w:val="000000" w:themeColor="text1"/>
          <w:lang w:eastAsia="pt-BR"/>
        </w:rPr>
        <w:t xml:space="preserve">de novembro </w:t>
      </w:r>
      <w:r w:rsidRPr="002E71D2">
        <w:rPr>
          <w:rFonts w:ascii="Times New Roman" w:eastAsiaTheme="minorEastAsia" w:hAnsi="Times New Roman" w:cs="Times New Roman"/>
          <w:i/>
          <w:lang w:eastAsia="pt-BR"/>
        </w:rPr>
        <w:t>de 2016.</w:t>
      </w:r>
    </w:p>
    <w:p w:rsidR="00CA1A0E" w:rsidRPr="002E71D2" w:rsidRDefault="00B57918" w:rsidP="00065296">
      <w:pPr>
        <w:widowControl w:val="0"/>
        <w:autoSpaceDE w:val="0"/>
        <w:spacing w:after="0" w:line="360" w:lineRule="auto"/>
        <w:ind w:right="-1"/>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tab/>
        <w:t>A consulente prossegue tecendo considerações sobre sua atuação social e o histórico de seu principal e</w:t>
      </w:r>
      <w:r w:rsidR="005E333D" w:rsidRPr="002E71D2">
        <w:rPr>
          <w:rFonts w:ascii="Times New Roman" w:eastAsia="Times New Roman" w:hAnsi="Times New Roman" w:cs="Times New Roman"/>
          <w:lang w:eastAsia="ar-SA"/>
        </w:rPr>
        <w:t>vento, a Feira da Providência, que vendia ao público</w:t>
      </w:r>
      <w:r w:rsidR="00E25BD9" w:rsidRPr="002E71D2">
        <w:rPr>
          <w:rFonts w:ascii="Times New Roman" w:eastAsia="Times New Roman" w:hAnsi="Times New Roman" w:cs="Times New Roman"/>
          <w:lang w:eastAsia="ar-SA"/>
        </w:rPr>
        <w:t xml:space="preserve">, principalmente, </w:t>
      </w:r>
      <w:r w:rsidR="005E333D" w:rsidRPr="002E71D2">
        <w:rPr>
          <w:rFonts w:ascii="Times New Roman" w:eastAsia="Times New Roman" w:hAnsi="Times New Roman" w:cs="Times New Roman"/>
          <w:lang w:eastAsia="ar-SA"/>
        </w:rPr>
        <w:lastRenderedPageBreak/>
        <w:t>mercadorias importadas doadas pelas embaixadas de países produtores</w:t>
      </w:r>
      <w:r w:rsidR="00E25BD9" w:rsidRPr="002E71D2">
        <w:rPr>
          <w:rFonts w:ascii="Times New Roman" w:eastAsia="Times New Roman" w:hAnsi="Times New Roman" w:cs="Times New Roman"/>
          <w:lang w:eastAsia="ar-SA"/>
        </w:rPr>
        <w:t xml:space="preserve"> e </w:t>
      </w:r>
      <w:r w:rsidR="005E333D" w:rsidRPr="002E71D2">
        <w:rPr>
          <w:rFonts w:ascii="Times New Roman" w:eastAsia="Times New Roman" w:hAnsi="Times New Roman" w:cs="Times New Roman"/>
          <w:lang w:eastAsia="ar-SA"/>
        </w:rPr>
        <w:t>mercadorias apreendidas pela Receita Federal, até que, posteriormente à abertura comercial do país, passou a ser apenas uma organizadora do evento, não mais comercializando mercadorias</w:t>
      </w:r>
      <w:r w:rsidR="009B3317" w:rsidRPr="002E71D2">
        <w:rPr>
          <w:rFonts w:ascii="Times New Roman" w:eastAsia="Times New Roman" w:hAnsi="Times New Roman" w:cs="Times New Roman"/>
          <w:lang w:eastAsia="ar-SA"/>
        </w:rPr>
        <w:t xml:space="preserve"> diretamente</w:t>
      </w:r>
      <w:r w:rsidR="005E333D" w:rsidRPr="002E71D2">
        <w:rPr>
          <w:rFonts w:ascii="Times New Roman" w:eastAsia="Times New Roman" w:hAnsi="Times New Roman" w:cs="Times New Roman"/>
          <w:lang w:eastAsia="ar-SA"/>
        </w:rPr>
        <w:t xml:space="preserve">, apenas </w:t>
      </w:r>
      <w:r w:rsidR="00E25BD9" w:rsidRPr="002E71D2">
        <w:rPr>
          <w:rFonts w:ascii="Times New Roman" w:eastAsia="Times New Roman" w:hAnsi="Times New Roman" w:cs="Times New Roman"/>
          <w:lang w:eastAsia="ar-SA"/>
        </w:rPr>
        <w:t xml:space="preserve">divulgando e </w:t>
      </w:r>
      <w:r w:rsidR="005E333D" w:rsidRPr="002E71D2">
        <w:rPr>
          <w:rFonts w:ascii="Times New Roman" w:eastAsia="Times New Roman" w:hAnsi="Times New Roman" w:cs="Times New Roman"/>
          <w:lang w:eastAsia="ar-SA"/>
        </w:rPr>
        <w:t>alugando espaço para expositores</w:t>
      </w:r>
      <w:r w:rsidR="00E25BD9" w:rsidRPr="002E71D2">
        <w:rPr>
          <w:rFonts w:ascii="Times New Roman" w:eastAsia="Times New Roman" w:hAnsi="Times New Roman" w:cs="Times New Roman"/>
          <w:lang w:eastAsia="ar-SA"/>
        </w:rPr>
        <w:t xml:space="preserve">, sendo que estes é que vendem </w:t>
      </w:r>
      <w:r w:rsidR="009B3317" w:rsidRPr="002E71D2">
        <w:rPr>
          <w:rFonts w:ascii="Times New Roman" w:eastAsia="Times New Roman" w:hAnsi="Times New Roman" w:cs="Times New Roman"/>
          <w:lang w:eastAsia="ar-SA"/>
        </w:rPr>
        <w:t xml:space="preserve">as mercadorias. Entretanto, </w:t>
      </w:r>
      <w:r w:rsidR="005E333D" w:rsidRPr="002E71D2">
        <w:rPr>
          <w:rFonts w:ascii="Times New Roman" w:eastAsia="Times New Roman" w:hAnsi="Times New Roman" w:cs="Times New Roman"/>
          <w:lang w:eastAsia="ar-SA"/>
        </w:rPr>
        <w:t>manteve a prática de solicitar, anualmente, a expedição de at</w:t>
      </w:r>
      <w:r w:rsidR="008A7A4E" w:rsidRPr="002E71D2">
        <w:rPr>
          <w:rFonts w:ascii="Times New Roman" w:eastAsia="Times New Roman" w:hAnsi="Times New Roman" w:cs="Times New Roman"/>
          <w:lang w:eastAsia="ar-SA"/>
        </w:rPr>
        <w:t>o conc</w:t>
      </w:r>
      <w:r w:rsidR="00E25BD9" w:rsidRPr="002E71D2">
        <w:rPr>
          <w:rFonts w:ascii="Times New Roman" w:eastAsia="Times New Roman" w:hAnsi="Times New Roman" w:cs="Times New Roman"/>
          <w:lang w:eastAsia="ar-SA"/>
        </w:rPr>
        <w:t xml:space="preserve">essivo da isenção do ICMS. Acaba por concluir que, atualmente, com sua atuação de mero locador de espaço como organizador do evento não o qualifica como sujeito passivo de obrigação tributária relativa ao ICMS, quer na qualidade de contribuinte, quer na qualidade de responsável. E passa a questionar a </w:t>
      </w:r>
      <w:r w:rsidR="00C2658F" w:rsidRPr="002E71D2">
        <w:rPr>
          <w:rFonts w:ascii="Times New Roman" w:eastAsia="Times New Roman" w:hAnsi="Times New Roman" w:cs="Times New Roman"/>
          <w:lang w:eastAsia="ar-SA"/>
        </w:rPr>
        <w:t>legalidade do disposto no artigo 92 (do anexo XIII da Part</w:t>
      </w:r>
      <w:r w:rsidR="00FE19FE" w:rsidRPr="002E71D2">
        <w:rPr>
          <w:rFonts w:ascii="Times New Roman" w:eastAsia="Times New Roman" w:hAnsi="Times New Roman" w:cs="Times New Roman"/>
          <w:lang w:eastAsia="ar-SA"/>
        </w:rPr>
        <w:t>e II) da Resolução n.º 720/2014, que textualmente determina a responsabilidade solidária do promotor de eventos, com os participantes, em relação ao pagamento do imposto devido relativos às operações praticadas durante tais eventos.</w:t>
      </w:r>
    </w:p>
    <w:p w:rsidR="00FE19FE" w:rsidRPr="002E71D2" w:rsidRDefault="00FE19FE" w:rsidP="00065296">
      <w:pPr>
        <w:widowControl w:val="0"/>
        <w:autoSpaceDE w:val="0"/>
        <w:spacing w:after="0" w:line="360" w:lineRule="auto"/>
        <w:ind w:right="-1"/>
        <w:jc w:val="both"/>
        <w:rPr>
          <w:rFonts w:ascii="Times New Roman" w:eastAsia="Times New Roman" w:hAnsi="Times New Roman" w:cs="Times New Roman"/>
          <w:lang w:eastAsia="ar-SA"/>
        </w:rPr>
      </w:pPr>
    </w:p>
    <w:p w:rsidR="00F60253" w:rsidRPr="002E71D2" w:rsidRDefault="00FE19FE" w:rsidP="00065296">
      <w:pPr>
        <w:widowControl w:val="0"/>
        <w:autoSpaceDE w:val="0"/>
        <w:spacing w:after="0" w:line="360" w:lineRule="auto"/>
        <w:ind w:right="-1"/>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tab/>
        <w:t>Sua principal argumentação é de que a atribuição da responsabilidade tributária, de acordo com o Código Tributário Nacional, só pode ser efetuada através de Lei.</w:t>
      </w:r>
      <w:r w:rsidR="008654A1" w:rsidRPr="002E71D2">
        <w:rPr>
          <w:rFonts w:ascii="Times New Roman" w:eastAsia="Times New Roman" w:hAnsi="Times New Roman" w:cs="Times New Roman"/>
          <w:lang w:eastAsia="ar-SA"/>
        </w:rPr>
        <w:t xml:space="preserve"> Cita que o artigo 97 determina, no seu Inciso III, que somente a Lei pode estabelecer a definição do sujeito passivo, e que este é o contribuinte ou o responsável. Cita também o Inciso II do parágrafo único do artigo 121, que determina que o sujeito passivo seja o responsável, quando, sem revestir a condição de contribuinte, sua obrigação decorra de disposição expressa em lei.</w:t>
      </w:r>
      <w:r w:rsidR="00F60253" w:rsidRPr="002E71D2">
        <w:rPr>
          <w:rFonts w:ascii="Times New Roman" w:eastAsia="Times New Roman" w:hAnsi="Times New Roman" w:cs="Times New Roman"/>
          <w:lang w:eastAsia="ar-SA"/>
        </w:rPr>
        <w:t xml:space="preserve"> Prossegue citando o artigo 5º da Lei Complementar n.º 87/1996, que determina que somente Lei </w:t>
      </w:r>
      <w:proofErr w:type="gramStart"/>
      <w:r w:rsidR="00F60253" w:rsidRPr="002E71D2">
        <w:rPr>
          <w:rFonts w:ascii="Times New Roman" w:eastAsia="Times New Roman" w:hAnsi="Times New Roman" w:cs="Times New Roman"/>
          <w:lang w:eastAsia="ar-SA"/>
        </w:rPr>
        <w:t>pode</w:t>
      </w:r>
      <w:proofErr w:type="gramEnd"/>
      <w:r w:rsidR="00F60253" w:rsidRPr="002E71D2">
        <w:rPr>
          <w:rFonts w:ascii="Times New Roman" w:eastAsia="Times New Roman" w:hAnsi="Times New Roman" w:cs="Times New Roman"/>
          <w:lang w:eastAsia="ar-SA"/>
        </w:rPr>
        <w:t xml:space="preserve"> atribuir a terceiros, a responsabilidade pelo pagamento de imposto e acréscimos devidos por contribuinte ou responsável. </w:t>
      </w:r>
    </w:p>
    <w:p w:rsidR="00F60253" w:rsidRPr="002E71D2" w:rsidRDefault="00F60253" w:rsidP="00065296">
      <w:pPr>
        <w:widowControl w:val="0"/>
        <w:autoSpaceDE w:val="0"/>
        <w:spacing w:after="0" w:line="360" w:lineRule="auto"/>
        <w:ind w:right="-1"/>
        <w:jc w:val="both"/>
        <w:rPr>
          <w:rFonts w:ascii="Times New Roman" w:eastAsia="Times New Roman" w:hAnsi="Times New Roman" w:cs="Times New Roman"/>
          <w:lang w:eastAsia="ar-SA"/>
        </w:rPr>
      </w:pPr>
    </w:p>
    <w:p w:rsidR="00FE19FE" w:rsidRPr="002E71D2" w:rsidRDefault="00F60253" w:rsidP="00065296">
      <w:pPr>
        <w:widowControl w:val="0"/>
        <w:autoSpaceDE w:val="0"/>
        <w:spacing w:after="0" w:line="360" w:lineRule="auto"/>
        <w:ind w:right="-1" w:firstLine="709"/>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t>Cita ainda que a legislação estadual, mormente a Lei n.º 2.657/1996, não é explicita no sentido de atribuir a responsabilidade tributária ao promotor de eventos</w:t>
      </w:r>
      <w:r w:rsidR="00C839E1" w:rsidRPr="002E71D2">
        <w:rPr>
          <w:rFonts w:ascii="Times New Roman" w:eastAsia="Times New Roman" w:hAnsi="Times New Roman" w:cs="Times New Roman"/>
          <w:lang w:eastAsia="ar-SA"/>
        </w:rPr>
        <w:t>, e que define, nos seus artigos 18 e 19, vários casos de atribuição de responsabilidade, inclusive a solidária, sem mencionar o do organizador de eventos. Por fim, cita que o artigo 17 da Lei não permitiria a atribuição de responsabilidade ao promotor de eventos, pois esta situação seria matéria sujeita à reserva de Lei, e que este dispositivo deve ser entendido como norma destinada a explicitar as hipóteses previstas nos artigos 18 e 19.</w:t>
      </w:r>
    </w:p>
    <w:p w:rsidR="00E25BD9" w:rsidRPr="002E71D2" w:rsidRDefault="00E25BD9" w:rsidP="00065296">
      <w:pPr>
        <w:widowControl w:val="0"/>
        <w:autoSpaceDE w:val="0"/>
        <w:spacing w:after="0" w:line="360" w:lineRule="auto"/>
        <w:ind w:right="-1"/>
        <w:jc w:val="both"/>
        <w:rPr>
          <w:rFonts w:ascii="Times New Roman" w:eastAsia="Times New Roman" w:hAnsi="Times New Roman" w:cs="Times New Roman"/>
          <w:lang w:eastAsia="ar-SA"/>
        </w:rPr>
      </w:pPr>
    </w:p>
    <w:p w:rsidR="00C839E1" w:rsidRPr="002E71D2" w:rsidRDefault="00E25BD9" w:rsidP="00065296">
      <w:pPr>
        <w:widowControl w:val="0"/>
        <w:autoSpaceDE w:val="0"/>
        <w:spacing w:after="0" w:line="360" w:lineRule="auto"/>
        <w:ind w:right="-1"/>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lastRenderedPageBreak/>
        <w:tab/>
      </w:r>
      <w:proofErr w:type="gramStart"/>
      <w:r w:rsidR="000610B8" w:rsidRPr="002E71D2">
        <w:rPr>
          <w:rFonts w:ascii="Times New Roman" w:hAnsi="Times New Roman" w:cs="Times New Roman"/>
        </w:rPr>
        <w:t>Isto posto</w:t>
      </w:r>
      <w:proofErr w:type="gramEnd"/>
      <w:r w:rsidR="000610B8" w:rsidRPr="002E71D2">
        <w:rPr>
          <w:rFonts w:ascii="Times New Roman" w:hAnsi="Times New Roman" w:cs="Times New Roman"/>
        </w:rPr>
        <w:t xml:space="preserve">, </w:t>
      </w:r>
      <w:r w:rsidR="00452C71" w:rsidRPr="002E71D2">
        <w:rPr>
          <w:rFonts w:ascii="Times New Roman" w:hAnsi="Times New Roman" w:cs="Times New Roman"/>
        </w:rPr>
        <w:t>c</w:t>
      </w:r>
      <w:r w:rsidR="000610B8" w:rsidRPr="002E71D2">
        <w:rPr>
          <w:rFonts w:ascii="Times New Roman" w:hAnsi="Times New Roman" w:cs="Times New Roman"/>
        </w:rPr>
        <w:t>onsulta</w:t>
      </w:r>
      <w:r w:rsidR="00C839E1" w:rsidRPr="002E71D2">
        <w:rPr>
          <w:rFonts w:ascii="Times New Roman" w:hAnsi="Times New Roman" w:cs="Times New Roman"/>
        </w:rPr>
        <w:t xml:space="preserve"> (conclui)</w:t>
      </w:r>
      <w:r w:rsidR="000610B8" w:rsidRPr="002E71D2">
        <w:rPr>
          <w:rFonts w:ascii="Times New Roman" w:hAnsi="Times New Roman" w:cs="Times New Roman"/>
        </w:rPr>
        <w:t>, às fls.</w:t>
      </w:r>
      <w:r w:rsidR="00C839E1" w:rsidRPr="002E71D2">
        <w:rPr>
          <w:rFonts w:ascii="Times New Roman" w:hAnsi="Times New Roman" w:cs="Times New Roman"/>
        </w:rPr>
        <w:t xml:space="preserve"> 15</w:t>
      </w:r>
      <w:r w:rsidR="003933A3" w:rsidRPr="002E71D2">
        <w:rPr>
          <w:rFonts w:ascii="Times New Roman" w:hAnsi="Times New Roman" w:cs="Times New Roman"/>
        </w:rPr>
        <w:t xml:space="preserve"> </w:t>
      </w:r>
      <w:r w:rsidR="00DE26C9" w:rsidRPr="002E71D2">
        <w:rPr>
          <w:rFonts w:ascii="Times New Roman" w:hAnsi="Times New Roman" w:cs="Times New Roman"/>
        </w:rPr>
        <w:t>(SIC)</w:t>
      </w:r>
      <w:r w:rsidR="00452C71" w:rsidRPr="002E71D2">
        <w:rPr>
          <w:rFonts w:ascii="Times New Roman" w:hAnsi="Times New Roman" w:cs="Times New Roman"/>
        </w:rPr>
        <w:t>:</w:t>
      </w:r>
      <w:r w:rsidR="00C839E1" w:rsidRPr="002E71D2">
        <w:rPr>
          <w:rFonts w:ascii="Times New Roman" w:eastAsia="Times New Roman" w:hAnsi="Times New Roman" w:cs="Times New Roman"/>
          <w:lang w:eastAsia="ar-SA"/>
        </w:rPr>
        <w:t xml:space="preserve"> </w:t>
      </w:r>
    </w:p>
    <w:p w:rsidR="00C839E1" w:rsidRPr="002E71D2" w:rsidRDefault="00C839E1" w:rsidP="00065296">
      <w:pPr>
        <w:widowControl w:val="0"/>
        <w:autoSpaceDE w:val="0"/>
        <w:spacing w:after="0" w:line="360" w:lineRule="auto"/>
        <w:ind w:right="-1"/>
        <w:jc w:val="both"/>
        <w:rPr>
          <w:rFonts w:ascii="Times New Roman" w:eastAsia="Times New Roman" w:hAnsi="Times New Roman" w:cs="Times New Roman"/>
          <w:lang w:eastAsia="ar-SA"/>
        </w:rPr>
      </w:pPr>
    </w:p>
    <w:p w:rsidR="005F11D2" w:rsidRPr="002E71D2" w:rsidRDefault="00C839E1" w:rsidP="00065296">
      <w:pPr>
        <w:widowControl w:val="0"/>
        <w:autoSpaceDE w:val="0"/>
        <w:spacing w:after="0" w:line="360" w:lineRule="auto"/>
        <w:ind w:right="-1"/>
        <w:jc w:val="both"/>
        <w:rPr>
          <w:rFonts w:ascii="Times New Roman" w:eastAsia="Times New Roman" w:hAnsi="Times New Roman" w:cs="Times New Roman"/>
          <w:i/>
          <w:lang w:eastAsia="ar-SA"/>
        </w:rPr>
      </w:pPr>
      <w:r w:rsidRPr="002E71D2">
        <w:rPr>
          <w:rFonts w:ascii="Times New Roman" w:eastAsia="Times New Roman" w:hAnsi="Times New Roman" w:cs="Times New Roman"/>
          <w:lang w:eastAsia="ar-SA"/>
        </w:rPr>
        <w:tab/>
      </w:r>
      <w:proofErr w:type="gramStart"/>
      <w:r w:rsidR="00586544" w:rsidRPr="002E71D2">
        <w:rPr>
          <w:rFonts w:ascii="Times New Roman" w:eastAsia="Times New Roman" w:hAnsi="Times New Roman" w:cs="Times New Roman"/>
          <w:i/>
          <w:lang w:eastAsia="ar-SA"/>
        </w:rPr>
        <w:t>“</w:t>
      </w:r>
      <w:r w:rsidRPr="002E71D2">
        <w:rPr>
          <w:rFonts w:ascii="Times New Roman" w:eastAsia="Times New Roman" w:hAnsi="Times New Roman" w:cs="Times New Roman"/>
          <w:i/>
          <w:lang w:eastAsia="ar-SA"/>
        </w:rPr>
        <w:t>Pelas razões acima expostas, é de se concluir que:</w:t>
      </w:r>
    </w:p>
    <w:p w:rsidR="00C839E1" w:rsidRPr="002E71D2" w:rsidRDefault="00C839E1" w:rsidP="00065296">
      <w:pPr>
        <w:pStyle w:val="PargrafodaLista"/>
        <w:widowControl w:val="0"/>
        <w:numPr>
          <w:ilvl w:val="0"/>
          <w:numId w:val="20"/>
        </w:numPr>
        <w:autoSpaceDE w:val="0"/>
        <w:spacing w:line="360" w:lineRule="auto"/>
        <w:ind w:right="-1"/>
        <w:jc w:val="both"/>
        <w:rPr>
          <w:rFonts w:ascii="Times New Roman" w:hAnsi="Times New Roman" w:cs="Times New Roman"/>
          <w:i/>
          <w:sz w:val="22"/>
          <w:szCs w:val="22"/>
        </w:rPr>
      </w:pPr>
      <w:r w:rsidRPr="002E71D2">
        <w:rPr>
          <w:rFonts w:ascii="Times New Roman" w:hAnsi="Times New Roman" w:cs="Times New Roman"/>
          <w:i/>
          <w:sz w:val="22"/>
          <w:szCs w:val="22"/>
        </w:rPr>
        <w:t>as</w:t>
      </w:r>
      <w:proofErr w:type="gramEnd"/>
      <w:r w:rsidRPr="002E71D2">
        <w:rPr>
          <w:rFonts w:ascii="Times New Roman" w:hAnsi="Times New Roman" w:cs="Times New Roman"/>
          <w:i/>
          <w:sz w:val="22"/>
          <w:szCs w:val="22"/>
        </w:rPr>
        <w:t xml:space="preserve"> atividades exercidas pelo Banco da Providência na realização da Feira da Providência estão fora do campo de incidência do ICMS; e</w:t>
      </w:r>
    </w:p>
    <w:p w:rsidR="00C839E1" w:rsidRPr="002E71D2" w:rsidRDefault="00C839E1" w:rsidP="00065296">
      <w:pPr>
        <w:pStyle w:val="PargrafodaLista"/>
        <w:widowControl w:val="0"/>
        <w:autoSpaceDE w:val="0"/>
        <w:spacing w:line="360" w:lineRule="auto"/>
        <w:ind w:left="720" w:right="-1"/>
        <w:jc w:val="both"/>
        <w:rPr>
          <w:rFonts w:ascii="Times New Roman" w:hAnsi="Times New Roman" w:cs="Times New Roman"/>
          <w:i/>
          <w:sz w:val="22"/>
          <w:szCs w:val="22"/>
        </w:rPr>
      </w:pPr>
    </w:p>
    <w:p w:rsidR="00C839E1" w:rsidRPr="002E71D2" w:rsidRDefault="00C839E1" w:rsidP="00065296">
      <w:pPr>
        <w:pStyle w:val="PargrafodaLista"/>
        <w:widowControl w:val="0"/>
        <w:numPr>
          <w:ilvl w:val="0"/>
          <w:numId w:val="19"/>
        </w:numPr>
        <w:autoSpaceDE w:val="0"/>
        <w:spacing w:line="360" w:lineRule="auto"/>
        <w:ind w:right="-1"/>
        <w:jc w:val="both"/>
        <w:rPr>
          <w:rFonts w:ascii="Times New Roman" w:hAnsi="Times New Roman" w:cs="Times New Roman"/>
          <w:i/>
          <w:sz w:val="22"/>
          <w:szCs w:val="22"/>
        </w:rPr>
      </w:pPr>
      <w:proofErr w:type="gramStart"/>
      <w:r w:rsidRPr="002E71D2">
        <w:rPr>
          <w:rFonts w:ascii="Times New Roman" w:hAnsi="Times New Roman" w:cs="Times New Roman"/>
          <w:i/>
          <w:sz w:val="22"/>
          <w:szCs w:val="22"/>
        </w:rPr>
        <w:t>não</w:t>
      </w:r>
      <w:proofErr w:type="gramEnd"/>
      <w:r w:rsidRPr="002E71D2">
        <w:rPr>
          <w:rFonts w:ascii="Times New Roman" w:hAnsi="Times New Roman" w:cs="Times New Roman"/>
          <w:i/>
          <w:sz w:val="22"/>
          <w:szCs w:val="22"/>
        </w:rPr>
        <w:t xml:space="preserve"> existe lei que atribua ao promotor do evento responsabilidade pelo pagamento do ICMS eventualmente não recolhido pelos participantes da Feira da Providência.</w:t>
      </w:r>
      <w:r w:rsidR="00586544" w:rsidRPr="002E71D2">
        <w:rPr>
          <w:rFonts w:ascii="Times New Roman" w:hAnsi="Times New Roman" w:cs="Times New Roman"/>
          <w:i/>
          <w:sz w:val="22"/>
          <w:szCs w:val="22"/>
        </w:rPr>
        <w:t>”</w:t>
      </w:r>
    </w:p>
    <w:p w:rsidR="00C839E1" w:rsidRPr="002E71D2" w:rsidRDefault="00C839E1" w:rsidP="00065296">
      <w:pPr>
        <w:pStyle w:val="PargrafodaLista"/>
        <w:widowControl w:val="0"/>
        <w:autoSpaceDE w:val="0"/>
        <w:spacing w:line="360" w:lineRule="auto"/>
        <w:ind w:left="720" w:right="-1"/>
        <w:jc w:val="both"/>
        <w:rPr>
          <w:rFonts w:ascii="Times New Roman" w:hAnsi="Times New Roman" w:cs="Times New Roman"/>
          <w:sz w:val="22"/>
          <w:szCs w:val="22"/>
        </w:rPr>
      </w:pPr>
    </w:p>
    <w:p w:rsidR="00913767" w:rsidRPr="002E71D2" w:rsidRDefault="00913767" w:rsidP="00065296">
      <w:pPr>
        <w:pStyle w:val="PargrafodaLista"/>
        <w:spacing w:line="360" w:lineRule="auto"/>
        <w:ind w:left="0" w:right="-1"/>
        <w:jc w:val="both"/>
        <w:rPr>
          <w:rFonts w:ascii="Times New Roman" w:hAnsi="Times New Roman" w:cs="Times New Roman"/>
          <w:sz w:val="22"/>
          <w:szCs w:val="22"/>
        </w:rPr>
      </w:pPr>
    </w:p>
    <w:p w:rsidR="00B43B24" w:rsidRPr="002E71D2" w:rsidRDefault="00B43B24" w:rsidP="00065296">
      <w:pPr>
        <w:pStyle w:val="PargrafodaLista"/>
        <w:tabs>
          <w:tab w:val="left" w:pos="284"/>
        </w:tabs>
        <w:spacing w:line="360" w:lineRule="auto"/>
        <w:ind w:left="0" w:right="-1"/>
        <w:jc w:val="center"/>
        <w:rPr>
          <w:rFonts w:ascii="Times New Roman" w:hAnsi="Times New Roman" w:cs="Times New Roman"/>
          <w:b/>
          <w:sz w:val="22"/>
          <w:szCs w:val="22"/>
        </w:rPr>
      </w:pPr>
      <w:r w:rsidRPr="002E71D2">
        <w:rPr>
          <w:rFonts w:ascii="Times New Roman" w:hAnsi="Times New Roman" w:cs="Times New Roman"/>
          <w:b/>
          <w:sz w:val="22"/>
          <w:szCs w:val="22"/>
        </w:rPr>
        <w:t>II – ANÁLISE</w:t>
      </w:r>
      <w:r w:rsidR="00B63325" w:rsidRPr="002E71D2">
        <w:rPr>
          <w:rFonts w:ascii="Times New Roman" w:hAnsi="Times New Roman" w:cs="Times New Roman"/>
          <w:b/>
          <w:sz w:val="22"/>
          <w:szCs w:val="22"/>
        </w:rPr>
        <w:t xml:space="preserve"> e</w:t>
      </w:r>
      <w:r w:rsidRPr="002E71D2">
        <w:rPr>
          <w:rFonts w:ascii="Times New Roman" w:hAnsi="Times New Roman" w:cs="Times New Roman"/>
          <w:b/>
          <w:sz w:val="22"/>
          <w:szCs w:val="22"/>
        </w:rPr>
        <w:t xml:space="preserve"> FUNDAMENTAÇÃO</w:t>
      </w:r>
    </w:p>
    <w:p w:rsidR="00913767" w:rsidRPr="002E71D2" w:rsidRDefault="00913767" w:rsidP="00065296">
      <w:pPr>
        <w:pStyle w:val="PargrafodaLista"/>
        <w:tabs>
          <w:tab w:val="left" w:pos="284"/>
        </w:tabs>
        <w:spacing w:line="360" w:lineRule="auto"/>
        <w:ind w:left="0" w:right="-1"/>
        <w:jc w:val="both"/>
        <w:rPr>
          <w:rFonts w:ascii="Times New Roman" w:hAnsi="Times New Roman" w:cs="Times New Roman"/>
          <w:b/>
          <w:sz w:val="22"/>
          <w:szCs w:val="22"/>
        </w:rPr>
      </w:pPr>
    </w:p>
    <w:p w:rsidR="004A2C06" w:rsidRPr="002E71D2" w:rsidRDefault="00913767" w:rsidP="00065296">
      <w:pPr>
        <w:pStyle w:val="PargrafodaLista"/>
        <w:tabs>
          <w:tab w:val="left" w:pos="709"/>
        </w:tabs>
        <w:spacing w:line="360" w:lineRule="auto"/>
        <w:ind w:left="0" w:right="-1"/>
        <w:jc w:val="both"/>
        <w:rPr>
          <w:rFonts w:ascii="Times New Roman" w:hAnsi="Times New Roman" w:cs="Times New Roman"/>
          <w:sz w:val="22"/>
          <w:szCs w:val="22"/>
        </w:rPr>
      </w:pPr>
      <w:r w:rsidRPr="002E71D2">
        <w:rPr>
          <w:rFonts w:ascii="Times New Roman" w:hAnsi="Times New Roman" w:cs="Times New Roman"/>
          <w:sz w:val="22"/>
          <w:szCs w:val="22"/>
        </w:rPr>
        <w:tab/>
      </w:r>
      <w:r w:rsidR="005F11D2" w:rsidRPr="002E71D2">
        <w:rPr>
          <w:rFonts w:ascii="Times New Roman" w:hAnsi="Times New Roman" w:cs="Times New Roman"/>
          <w:sz w:val="22"/>
          <w:szCs w:val="22"/>
        </w:rPr>
        <w:t>Analisando toda a situação, fica cla</w:t>
      </w:r>
      <w:r w:rsidR="00CC28E0" w:rsidRPr="002E71D2">
        <w:rPr>
          <w:rFonts w:ascii="Times New Roman" w:hAnsi="Times New Roman" w:cs="Times New Roman"/>
          <w:sz w:val="22"/>
          <w:szCs w:val="22"/>
        </w:rPr>
        <w:t>r</w:t>
      </w:r>
      <w:r w:rsidR="005F11D2" w:rsidRPr="002E71D2">
        <w:rPr>
          <w:rFonts w:ascii="Times New Roman" w:hAnsi="Times New Roman" w:cs="Times New Roman"/>
          <w:sz w:val="22"/>
          <w:szCs w:val="22"/>
        </w:rPr>
        <w:t xml:space="preserve">o que a intenção da consulente é de se eximir de qualquer cobrança de imposto, eventualmente não recolhido pelos expositores da Feira da Providência, edição de 2016, para a qual não foi expedido, como em anos anteriores, ato concedendo a isenção de ICMS. </w:t>
      </w:r>
    </w:p>
    <w:p w:rsidR="004A2C06" w:rsidRPr="002E71D2" w:rsidRDefault="004A2C06" w:rsidP="00065296">
      <w:pPr>
        <w:pStyle w:val="PargrafodaLista"/>
        <w:tabs>
          <w:tab w:val="left" w:pos="709"/>
        </w:tabs>
        <w:spacing w:line="360" w:lineRule="auto"/>
        <w:ind w:left="0" w:right="-1"/>
        <w:jc w:val="both"/>
        <w:rPr>
          <w:rFonts w:ascii="Times New Roman" w:hAnsi="Times New Roman" w:cs="Times New Roman"/>
          <w:sz w:val="22"/>
          <w:szCs w:val="22"/>
        </w:rPr>
      </w:pPr>
    </w:p>
    <w:p w:rsidR="004A2C06" w:rsidRPr="002E71D2" w:rsidRDefault="004A2C06" w:rsidP="00065296">
      <w:pPr>
        <w:pStyle w:val="PargrafodaLista"/>
        <w:tabs>
          <w:tab w:val="left" w:pos="709"/>
        </w:tabs>
        <w:spacing w:line="360" w:lineRule="auto"/>
        <w:ind w:left="0" w:right="-1"/>
        <w:jc w:val="both"/>
        <w:rPr>
          <w:rFonts w:ascii="Times New Roman" w:hAnsi="Times New Roman" w:cs="Times New Roman"/>
          <w:sz w:val="22"/>
          <w:szCs w:val="22"/>
        </w:rPr>
      </w:pPr>
      <w:r w:rsidRPr="002E71D2">
        <w:rPr>
          <w:rFonts w:ascii="Times New Roman" w:hAnsi="Times New Roman" w:cs="Times New Roman"/>
          <w:sz w:val="22"/>
          <w:szCs w:val="22"/>
        </w:rPr>
        <w:tab/>
        <w:t xml:space="preserve">Acreditamos que o questionamento </w:t>
      </w:r>
      <w:r w:rsidR="005B6880" w:rsidRPr="002E71D2">
        <w:rPr>
          <w:rFonts w:ascii="Times New Roman" w:hAnsi="Times New Roman" w:cs="Times New Roman"/>
          <w:sz w:val="22"/>
          <w:szCs w:val="22"/>
        </w:rPr>
        <w:t xml:space="preserve">se </w:t>
      </w:r>
      <w:r w:rsidRPr="002E71D2">
        <w:rPr>
          <w:rFonts w:ascii="Times New Roman" w:hAnsi="Times New Roman" w:cs="Times New Roman"/>
          <w:sz w:val="22"/>
          <w:szCs w:val="22"/>
        </w:rPr>
        <w:t xml:space="preserve">as atuais atividades da consulente, </w:t>
      </w:r>
      <w:r w:rsidR="005B6880" w:rsidRPr="002E71D2">
        <w:rPr>
          <w:rFonts w:ascii="Times New Roman" w:hAnsi="Times New Roman" w:cs="Times New Roman"/>
          <w:sz w:val="22"/>
          <w:szCs w:val="22"/>
        </w:rPr>
        <w:t xml:space="preserve">no evento </w:t>
      </w:r>
      <w:r w:rsidRPr="002E71D2">
        <w:rPr>
          <w:rFonts w:ascii="Times New Roman" w:hAnsi="Times New Roman" w:cs="Times New Roman"/>
          <w:sz w:val="22"/>
          <w:szCs w:val="22"/>
        </w:rPr>
        <w:t>Feira da Providência, divulgação e locação de espaços est</w:t>
      </w:r>
      <w:r w:rsidR="005B6880" w:rsidRPr="002E71D2">
        <w:rPr>
          <w:rFonts w:ascii="Times New Roman" w:hAnsi="Times New Roman" w:cs="Times New Roman"/>
          <w:sz w:val="22"/>
          <w:szCs w:val="22"/>
        </w:rPr>
        <w:t xml:space="preserve">ariam </w:t>
      </w:r>
      <w:r w:rsidRPr="002E71D2">
        <w:rPr>
          <w:rFonts w:ascii="Times New Roman" w:hAnsi="Times New Roman" w:cs="Times New Roman"/>
          <w:sz w:val="22"/>
          <w:szCs w:val="22"/>
        </w:rPr>
        <w:t>fora do campo de incidência do ICMS, foi meramente introdutório, pois essas atividades são</w:t>
      </w:r>
      <w:r w:rsidR="005B6880" w:rsidRPr="002E71D2">
        <w:rPr>
          <w:rFonts w:ascii="Times New Roman" w:hAnsi="Times New Roman" w:cs="Times New Roman"/>
          <w:sz w:val="22"/>
          <w:szCs w:val="22"/>
        </w:rPr>
        <w:t xml:space="preserve">, claramente, </w:t>
      </w:r>
      <w:r w:rsidRPr="002E71D2">
        <w:rPr>
          <w:rFonts w:ascii="Times New Roman" w:hAnsi="Times New Roman" w:cs="Times New Roman"/>
          <w:sz w:val="22"/>
          <w:szCs w:val="22"/>
        </w:rPr>
        <w:t>serviços e estão sujeitas ao ISSQN, imposto municipal sobre serviços de qualquer natureza.</w:t>
      </w:r>
    </w:p>
    <w:p w:rsidR="004A2C06" w:rsidRPr="002E71D2" w:rsidRDefault="004A2C06" w:rsidP="00065296">
      <w:pPr>
        <w:pStyle w:val="PargrafodaLista"/>
        <w:tabs>
          <w:tab w:val="left" w:pos="709"/>
        </w:tabs>
        <w:spacing w:line="360" w:lineRule="auto"/>
        <w:ind w:left="0" w:right="-1"/>
        <w:jc w:val="both"/>
        <w:rPr>
          <w:rFonts w:ascii="Times New Roman" w:hAnsi="Times New Roman" w:cs="Times New Roman"/>
          <w:sz w:val="22"/>
          <w:szCs w:val="22"/>
        </w:rPr>
      </w:pPr>
    </w:p>
    <w:p w:rsidR="00CC28E0" w:rsidRPr="002E71D2" w:rsidRDefault="005B6880" w:rsidP="00065296">
      <w:pPr>
        <w:pStyle w:val="PargrafodaLista"/>
        <w:tabs>
          <w:tab w:val="left" w:pos="709"/>
        </w:tabs>
        <w:spacing w:line="360" w:lineRule="auto"/>
        <w:ind w:left="0" w:right="-1"/>
        <w:jc w:val="both"/>
        <w:rPr>
          <w:rFonts w:ascii="Times New Roman" w:hAnsi="Times New Roman" w:cs="Times New Roman"/>
          <w:sz w:val="22"/>
          <w:szCs w:val="22"/>
        </w:rPr>
      </w:pPr>
      <w:r w:rsidRPr="002E71D2">
        <w:rPr>
          <w:rFonts w:ascii="Times New Roman" w:hAnsi="Times New Roman" w:cs="Times New Roman"/>
          <w:sz w:val="22"/>
          <w:szCs w:val="22"/>
        </w:rPr>
        <w:tab/>
        <w:t>Em relação ao questionamento sobre a ausência de Lei atribuindo a responsabilidade aos promotores de eventos, é i</w:t>
      </w:r>
      <w:r w:rsidR="0005636F" w:rsidRPr="002E71D2">
        <w:rPr>
          <w:rFonts w:ascii="Times New Roman" w:hAnsi="Times New Roman" w:cs="Times New Roman"/>
          <w:sz w:val="22"/>
          <w:szCs w:val="22"/>
        </w:rPr>
        <w:t>mportante ressaltar que a despeito da citação do a</w:t>
      </w:r>
      <w:r w:rsidRPr="002E71D2">
        <w:rPr>
          <w:rFonts w:ascii="Times New Roman" w:hAnsi="Times New Roman" w:cs="Times New Roman"/>
          <w:sz w:val="22"/>
          <w:szCs w:val="22"/>
        </w:rPr>
        <w:t xml:space="preserve">rtigo 17 da Lei n.º 2.657/1996, na argumentação da consulente, </w:t>
      </w:r>
      <w:r w:rsidR="0005636F" w:rsidRPr="002E71D2">
        <w:rPr>
          <w:rFonts w:ascii="Times New Roman" w:hAnsi="Times New Roman" w:cs="Times New Roman"/>
          <w:sz w:val="22"/>
          <w:szCs w:val="22"/>
        </w:rPr>
        <w:t xml:space="preserve">sua conclusão sobre o mesmo não condiz com a realidade. </w:t>
      </w:r>
      <w:r w:rsidR="00376138" w:rsidRPr="002E71D2">
        <w:rPr>
          <w:rFonts w:ascii="Times New Roman" w:hAnsi="Times New Roman" w:cs="Times New Roman"/>
          <w:sz w:val="22"/>
          <w:szCs w:val="22"/>
        </w:rPr>
        <w:t>Entendemos que est</w:t>
      </w:r>
      <w:r w:rsidR="0005636F" w:rsidRPr="002E71D2">
        <w:rPr>
          <w:rFonts w:ascii="Times New Roman" w:hAnsi="Times New Roman" w:cs="Times New Roman"/>
          <w:sz w:val="22"/>
          <w:szCs w:val="22"/>
        </w:rPr>
        <w:t xml:space="preserve">e dispositivo legal </w:t>
      </w:r>
      <w:r w:rsidR="006B0E3D" w:rsidRPr="002E71D2">
        <w:rPr>
          <w:rFonts w:ascii="Times New Roman" w:hAnsi="Times New Roman" w:cs="Times New Roman"/>
          <w:sz w:val="22"/>
          <w:szCs w:val="22"/>
        </w:rPr>
        <w:t>deu permissão para que ato normativo da SEFAZ, não necessariamente uma Lei, atribua</w:t>
      </w:r>
      <w:r w:rsidR="0005636F" w:rsidRPr="002E71D2">
        <w:rPr>
          <w:rFonts w:ascii="Times New Roman" w:hAnsi="Times New Roman" w:cs="Times New Roman"/>
          <w:sz w:val="22"/>
          <w:szCs w:val="22"/>
        </w:rPr>
        <w:t xml:space="preserve"> responsabilidade tributária </w:t>
      </w:r>
      <w:r w:rsidR="00376138" w:rsidRPr="002E71D2">
        <w:rPr>
          <w:rFonts w:ascii="Times New Roman" w:hAnsi="Times New Roman" w:cs="Times New Roman"/>
          <w:sz w:val="22"/>
          <w:szCs w:val="22"/>
        </w:rPr>
        <w:t>solidária a terceiros (promotor do evento), no caso de imposto não pago pe</w:t>
      </w:r>
      <w:r w:rsidR="006B0E3D" w:rsidRPr="002E71D2">
        <w:rPr>
          <w:rFonts w:ascii="Times New Roman" w:hAnsi="Times New Roman" w:cs="Times New Roman"/>
          <w:sz w:val="22"/>
          <w:szCs w:val="22"/>
        </w:rPr>
        <w:t>l</w:t>
      </w:r>
      <w:r w:rsidRPr="002E71D2">
        <w:rPr>
          <w:rFonts w:ascii="Times New Roman" w:hAnsi="Times New Roman" w:cs="Times New Roman"/>
          <w:sz w:val="22"/>
          <w:szCs w:val="22"/>
        </w:rPr>
        <w:t>o contribuinte (ou responsável).</w:t>
      </w:r>
    </w:p>
    <w:p w:rsidR="00F03CCE" w:rsidRPr="002E71D2" w:rsidRDefault="00F03CCE" w:rsidP="00065296">
      <w:pPr>
        <w:pStyle w:val="PargrafodaLista"/>
        <w:tabs>
          <w:tab w:val="left" w:pos="709"/>
        </w:tabs>
        <w:spacing w:line="360" w:lineRule="auto"/>
        <w:ind w:left="0" w:right="-1"/>
        <w:jc w:val="both"/>
        <w:rPr>
          <w:rFonts w:ascii="Times New Roman" w:hAnsi="Times New Roman" w:cs="Times New Roman"/>
          <w:sz w:val="22"/>
          <w:szCs w:val="22"/>
        </w:rPr>
      </w:pPr>
    </w:p>
    <w:p w:rsidR="00F03CCE" w:rsidRPr="002E71D2" w:rsidRDefault="00F03CCE" w:rsidP="00065296">
      <w:pPr>
        <w:pStyle w:val="PargrafodaLista"/>
        <w:tabs>
          <w:tab w:val="left" w:pos="709"/>
        </w:tabs>
        <w:spacing w:line="360" w:lineRule="auto"/>
        <w:ind w:left="0" w:right="-1"/>
        <w:jc w:val="both"/>
        <w:rPr>
          <w:rFonts w:ascii="Times New Roman" w:hAnsi="Times New Roman" w:cs="Times New Roman"/>
          <w:sz w:val="22"/>
          <w:szCs w:val="22"/>
        </w:rPr>
      </w:pPr>
      <w:r w:rsidRPr="002E71D2">
        <w:rPr>
          <w:rFonts w:ascii="Times New Roman" w:hAnsi="Times New Roman" w:cs="Times New Roman"/>
          <w:sz w:val="22"/>
          <w:szCs w:val="22"/>
        </w:rPr>
        <w:lastRenderedPageBreak/>
        <w:tab/>
      </w:r>
      <w:r w:rsidR="00376138" w:rsidRPr="002E71D2">
        <w:rPr>
          <w:rFonts w:ascii="Times New Roman" w:hAnsi="Times New Roman" w:cs="Times New Roman"/>
          <w:sz w:val="22"/>
          <w:szCs w:val="22"/>
        </w:rPr>
        <w:t>O</w:t>
      </w:r>
      <w:r w:rsidRPr="002E71D2">
        <w:rPr>
          <w:rFonts w:ascii="Times New Roman" w:hAnsi="Times New Roman" w:cs="Times New Roman"/>
          <w:sz w:val="22"/>
          <w:szCs w:val="22"/>
        </w:rPr>
        <w:t xml:space="preserve"> artigo 17</w:t>
      </w:r>
      <w:r w:rsidR="00376138" w:rsidRPr="002E71D2">
        <w:rPr>
          <w:rFonts w:ascii="Times New Roman" w:hAnsi="Times New Roman" w:cs="Times New Roman"/>
          <w:sz w:val="22"/>
          <w:szCs w:val="22"/>
        </w:rPr>
        <w:t>, abaixo reproduzido,</w:t>
      </w:r>
      <w:r w:rsidRPr="002E71D2">
        <w:rPr>
          <w:rFonts w:ascii="Times New Roman" w:hAnsi="Times New Roman" w:cs="Times New Roman"/>
          <w:sz w:val="22"/>
          <w:szCs w:val="22"/>
        </w:rPr>
        <w:t xml:space="preserve"> inicia a sessão II do capítulo IV da Lei 2.657/1996, denominada “DO RESPONSÁVEL”, compreendendo os artigos 17 a 20, e seu caput é literal no sentido da permissão de atribuição da responsabilidade pelo pagamento do imposto a terceiros, no caso de inadimplência do contribuinte ou responsável.</w:t>
      </w:r>
      <w:r w:rsidR="00376138" w:rsidRPr="002E71D2">
        <w:rPr>
          <w:rFonts w:ascii="Times New Roman" w:hAnsi="Times New Roman" w:cs="Times New Roman"/>
          <w:sz w:val="22"/>
          <w:szCs w:val="22"/>
        </w:rPr>
        <w:t xml:space="preserve"> </w:t>
      </w:r>
    </w:p>
    <w:p w:rsidR="00F03CCE" w:rsidRPr="002E71D2" w:rsidRDefault="00F03CCE" w:rsidP="00065296">
      <w:pPr>
        <w:pStyle w:val="PargrafodaLista"/>
        <w:tabs>
          <w:tab w:val="left" w:pos="709"/>
        </w:tabs>
        <w:spacing w:line="360" w:lineRule="auto"/>
        <w:ind w:left="0" w:right="-1"/>
        <w:jc w:val="both"/>
        <w:rPr>
          <w:rFonts w:ascii="Times New Roman" w:hAnsi="Times New Roman" w:cs="Times New Roman"/>
          <w:sz w:val="22"/>
          <w:szCs w:val="22"/>
        </w:rPr>
      </w:pPr>
    </w:p>
    <w:p w:rsidR="00F03CCE" w:rsidRPr="002E71D2" w:rsidRDefault="00F03CCE" w:rsidP="00065296">
      <w:pPr>
        <w:pStyle w:val="PargrafodaLista"/>
        <w:tabs>
          <w:tab w:val="left" w:pos="709"/>
        </w:tabs>
        <w:spacing w:line="360" w:lineRule="auto"/>
        <w:ind w:left="0" w:right="-1"/>
        <w:jc w:val="both"/>
        <w:rPr>
          <w:rFonts w:ascii="Times New Roman" w:hAnsi="Times New Roman" w:cs="Times New Roman"/>
          <w:i/>
          <w:sz w:val="22"/>
          <w:szCs w:val="22"/>
        </w:rPr>
      </w:pPr>
      <w:r w:rsidRPr="002E71D2">
        <w:rPr>
          <w:rFonts w:ascii="Times New Roman" w:hAnsi="Times New Roman" w:cs="Times New Roman"/>
          <w:b/>
          <w:bCs/>
          <w:i/>
          <w:sz w:val="22"/>
          <w:szCs w:val="22"/>
          <w:shd w:val="clear" w:color="auto" w:fill="FFFFFF"/>
        </w:rPr>
        <w:tab/>
        <w:t>Art. 17.</w:t>
      </w:r>
      <w:r w:rsidRPr="002E71D2">
        <w:rPr>
          <w:rFonts w:ascii="Times New Roman" w:hAnsi="Times New Roman" w:cs="Times New Roman"/>
          <w:i/>
          <w:sz w:val="22"/>
          <w:szCs w:val="22"/>
          <w:shd w:val="clear" w:color="auto" w:fill="FFFFFF"/>
        </w:rPr>
        <w:t xml:space="preserve"> A responsabilidade pelo pagamento do imposto e acréscimos legais não pagos pelo contribuinte ou responsável </w:t>
      </w:r>
      <w:r w:rsidRPr="002E71D2">
        <w:rPr>
          <w:rFonts w:ascii="Times New Roman" w:hAnsi="Times New Roman" w:cs="Times New Roman"/>
          <w:b/>
          <w:i/>
          <w:sz w:val="22"/>
          <w:szCs w:val="22"/>
          <w:shd w:val="clear" w:color="auto" w:fill="FFFFFF"/>
        </w:rPr>
        <w:t>pode ser</w:t>
      </w:r>
      <w:r w:rsidRPr="002E71D2">
        <w:rPr>
          <w:rFonts w:ascii="Times New Roman" w:hAnsi="Times New Roman" w:cs="Times New Roman"/>
          <w:i/>
          <w:sz w:val="22"/>
          <w:szCs w:val="22"/>
          <w:shd w:val="clear" w:color="auto" w:fill="FFFFFF"/>
        </w:rPr>
        <w:t xml:space="preserve"> atribuída a terceiros, quando os atos ou omissões destes concorrerem para o </w:t>
      </w:r>
      <w:proofErr w:type="gramStart"/>
      <w:r w:rsidR="00213404" w:rsidRPr="002E71D2">
        <w:rPr>
          <w:rFonts w:ascii="Times New Roman" w:hAnsi="Times New Roman" w:cs="Times New Roman"/>
          <w:i/>
          <w:sz w:val="22"/>
          <w:szCs w:val="22"/>
          <w:shd w:val="clear" w:color="auto" w:fill="FFFFFF"/>
        </w:rPr>
        <w:t>não-recolhimento</w:t>
      </w:r>
      <w:proofErr w:type="gramEnd"/>
      <w:r w:rsidRPr="002E71D2">
        <w:rPr>
          <w:rFonts w:ascii="Times New Roman" w:hAnsi="Times New Roman" w:cs="Times New Roman"/>
          <w:i/>
          <w:sz w:val="22"/>
          <w:szCs w:val="22"/>
          <w:shd w:val="clear" w:color="auto" w:fill="FFFFFF"/>
        </w:rPr>
        <w:t xml:space="preserve"> do tributo.</w:t>
      </w:r>
      <w:r w:rsidRPr="002E71D2">
        <w:rPr>
          <w:rFonts w:ascii="Times New Roman" w:hAnsi="Times New Roman" w:cs="Times New Roman"/>
          <w:i/>
          <w:sz w:val="22"/>
          <w:szCs w:val="22"/>
        </w:rPr>
        <w:t xml:space="preserve"> </w:t>
      </w:r>
    </w:p>
    <w:p w:rsidR="00E96748" w:rsidRPr="002E71D2" w:rsidRDefault="00E96748" w:rsidP="00065296">
      <w:pPr>
        <w:pStyle w:val="PargrafodaLista"/>
        <w:tabs>
          <w:tab w:val="left" w:pos="709"/>
        </w:tabs>
        <w:spacing w:line="360" w:lineRule="auto"/>
        <w:ind w:left="0" w:right="-1"/>
        <w:jc w:val="both"/>
        <w:rPr>
          <w:rFonts w:ascii="Times New Roman" w:hAnsi="Times New Roman" w:cs="Times New Roman"/>
          <w:i/>
          <w:sz w:val="22"/>
          <w:szCs w:val="22"/>
        </w:rPr>
      </w:pPr>
    </w:p>
    <w:p w:rsidR="00376138" w:rsidRPr="002E71D2" w:rsidRDefault="00E96748" w:rsidP="00065296">
      <w:pPr>
        <w:pStyle w:val="PargrafodaLista"/>
        <w:tabs>
          <w:tab w:val="left" w:pos="709"/>
        </w:tabs>
        <w:spacing w:line="360" w:lineRule="auto"/>
        <w:ind w:left="0" w:right="-1"/>
        <w:jc w:val="both"/>
        <w:rPr>
          <w:rFonts w:ascii="Times New Roman" w:hAnsi="Times New Roman" w:cs="Times New Roman"/>
          <w:sz w:val="22"/>
          <w:szCs w:val="22"/>
        </w:rPr>
      </w:pPr>
      <w:r w:rsidRPr="002E71D2">
        <w:rPr>
          <w:rFonts w:ascii="Times New Roman" w:hAnsi="Times New Roman" w:cs="Times New Roman"/>
          <w:i/>
          <w:sz w:val="22"/>
          <w:szCs w:val="22"/>
        </w:rPr>
        <w:tab/>
      </w:r>
      <w:r w:rsidRPr="002E71D2">
        <w:rPr>
          <w:rFonts w:ascii="Times New Roman" w:hAnsi="Times New Roman" w:cs="Times New Roman"/>
          <w:sz w:val="22"/>
          <w:szCs w:val="22"/>
        </w:rPr>
        <w:t>Aproveitando a permissão dada pelo artigo 17 da Lei n.º 2.657/1996, o artigo 92 do anexo XIII da Parte II da Resolução n.º 720/2014 determina</w:t>
      </w:r>
      <w:r w:rsidR="00104D11" w:rsidRPr="002E71D2">
        <w:rPr>
          <w:rFonts w:ascii="Times New Roman" w:hAnsi="Times New Roman" w:cs="Times New Roman"/>
          <w:sz w:val="22"/>
          <w:szCs w:val="22"/>
        </w:rPr>
        <w:t>, literalmente,</w:t>
      </w:r>
      <w:r w:rsidRPr="002E71D2">
        <w:rPr>
          <w:rFonts w:ascii="Times New Roman" w:hAnsi="Times New Roman" w:cs="Times New Roman"/>
          <w:sz w:val="22"/>
          <w:szCs w:val="22"/>
        </w:rPr>
        <w:t xml:space="preserve"> a atribuição da responsabilidade solidária ao promotor de eventos.</w:t>
      </w:r>
    </w:p>
    <w:p w:rsidR="00E96748" w:rsidRPr="002E71D2" w:rsidRDefault="00E96748" w:rsidP="00065296">
      <w:pPr>
        <w:pStyle w:val="PargrafodaLista"/>
        <w:tabs>
          <w:tab w:val="left" w:pos="709"/>
        </w:tabs>
        <w:spacing w:line="360" w:lineRule="auto"/>
        <w:ind w:left="0" w:right="-1"/>
        <w:jc w:val="both"/>
        <w:rPr>
          <w:rFonts w:ascii="Times New Roman" w:hAnsi="Times New Roman" w:cs="Times New Roman"/>
          <w:i/>
          <w:sz w:val="22"/>
          <w:szCs w:val="22"/>
        </w:rPr>
      </w:pPr>
    </w:p>
    <w:p w:rsidR="00513B9A" w:rsidRPr="002E71D2" w:rsidRDefault="00376138" w:rsidP="00065296">
      <w:pPr>
        <w:pStyle w:val="PargrafodaLista"/>
        <w:tabs>
          <w:tab w:val="left" w:pos="709"/>
        </w:tabs>
        <w:spacing w:line="360" w:lineRule="auto"/>
        <w:ind w:left="0" w:right="-1"/>
        <w:jc w:val="both"/>
        <w:rPr>
          <w:rFonts w:ascii="Times New Roman" w:hAnsi="Times New Roman" w:cs="Times New Roman"/>
          <w:sz w:val="22"/>
          <w:szCs w:val="22"/>
        </w:rPr>
      </w:pPr>
      <w:r w:rsidRPr="002E71D2">
        <w:rPr>
          <w:rFonts w:ascii="Times New Roman" w:hAnsi="Times New Roman" w:cs="Times New Roman"/>
          <w:i/>
          <w:sz w:val="22"/>
          <w:szCs w:val="22"/>
        </w:rPr>
        <w:tab/>
      </w:r>
      <w:r w:rsidR="006B0E3D" w:rsidRPr="002E71D2">
        <w:rPr>
          <w:rFonts w:ascii="Times New Roman" w:hAnsi="Times New Roman" w:cs="Times New Roman"/>
          <w:sz w:val="22"/>
          <w:szCs w:val="22"/>
        </w:rPr>
        <w:t xml:space="preserve">Temos também </w:t>
      </w:r>
      <w:r w:rsidR="00513B9A" w:rsidRPr="002E71D2">
        <w:rPr>
          <w:rFonts w:ascii="Times New Roman" w:hAnsi="Times New Roman" w:cs="Times New Roman"/>
          <w:sz w:val="22"/>
          <w:szCs w:val="22"/>
        </w:rPr>
        <w:t>o disposto n</w:t>
      </w:r>
      <w:r w:rsidR="006B0E3D" w:rsidRPr="002E71D2">
        <w:rPr>
          <w:rFonts w:ascii="Times New Roman" w:hAnsi="Times New Roman" w:cs="Times New Roman"/>
          <w:sz w:val="22"/>
          <w:szCs w:val="22"/>
        </w:rPr>
        <w:t xml:space="preserve">o </w:t>
      </w:r>
      <w:r w:rsidR="00E96748" w:rsidRPr="002E71D2">
        <w:rPr>
          <w:rFonts w:ascii="Times New Roman" w:hAnsi="Times New Roman" w:cs="Times New Roman"/>
          <w:sz w:val="22"/>
          <w:szCs w:val="22"/>
        </w:rPr>
        <w:t xml:space="preserve">Inciso I do </w:t>
      </w:r>
      <w:r w:rsidR="006B0E3D" w:rsidRPr="002E71D2">
        <w:rPr>
          <w:rFonts w:ascii="Times New Roman" w:hAnsi="Times New Roman" w:cs="Times New Roman"/>
          <w:sz w:val="22"/>
          <w:szCs w:val="22"/>
        </w:rPr>
        <w:t xml:space="preserve">artigo 124 do </w:t>
      </w:r>
      <w:r w:rsidR="00513B9A" w:rsidRPr="002E71D2">
        <w:rPr>
          <w:rFonts w:ascii="Times New Roman" w:hAnsi="Times New Roman" w:cs="Times New Roman"/>
          <w:sz w:val="22"/>
          <w:szCs w:val="22"/>
        </w:rPr>
        <w:t xml:space="preserve">Código Tributário Nacional, Lei n.º 5.172/1966, abaixo reproduzido, </w:t>
      </w:r>
      <w:r w:rsidR="00E96748" w:rsidRPr="002E71D2">
        <w:rPr>
          <w:rFonts w:ascii="Times New Roman" w:hAnsi="Times New Roman" w:cs="Times New Roman"/>
          <w:sz w:val="22"/>
          <w:szCs w:val="22"/>
        </w:rPr>
        <w:t xml:space="preserve">que obriga, solidariamente, as pessoas que tenham interesse comum na situação que constitua o fato gerador. Entendemos que o Banco da Providência, ao organizar o evento da Feira da Providência, cujo objetivo principal é a arrecadação de fundos para subsidiar suas atividades sociais, </w:t>
      </w:r>
      <w:r w:rsidR="005B6880" w:rsidRPr="002E71D2">
        <w:rPr>
          <w:rFonts w:ascii="Times New Roman" w:hAnsi="Times New Roman" w:cs="Times New Roman"/>
          <w:sz w:val="22"/>
          <w:szCs w:val="22"/>
        </w:rPr>
        <w:t xml:space="preserve">cobrando inclusive ingressos do público, </w:t>
      </w:r>
      <w:r w:rsidR="00E96748" w:rsidRPr="002E71D2">
        <w:rPr>
          <w:rFonts w:ascii="Times New Roman" w:hAnsi="Times New Roman" w:cs="Times New Roman"/>
          <w:sz w:val="22"/>
          <w:szCs w:val="22"/>
        </w:rPr>
        <w:t>tem bastante interesse nas vendas que serão efetuadas pelos locatários dos espaços,</w:t>
      </w:r>
      <w:r w:rsidR="005B6880" w:rsidRPr="002E71D2">
        <w:rPr>
          <w:rFonts w:ascii="Times New Roman" w:hAnsi="Times New Roman" w:cs="Times New Roman"/>
          <w:sz w:val="22"/>
          <w:szCs w:val="22"/>
        </w:rPr>
        <w:t xml:space="preserve"> </w:t>
      </w:r>
      <w:r w:rsidR="00E96748" w:rsidRPr="002E71D2">
        <w:rPr>
          <w:rFonts w:ascii="Times New Roman" w:hAnsi="Times New Roman" w:cs="Times New Roman"/>
          <w:sz w:val="22"/>
          <w:szCs w:val="22"/>
        </w:rPr>
        <w:t>podendo, portanto, ser considerado solidariamente obrigado (ao imposto devido pelos praticantes do fato gerador).</w:t>
      </w:r>
    </w:p>
    <w:p w:rsidR="001A5B11" w:rsidRPr="002E71D2" w:rsidRDefault="001A5B11" w:rsidP="006B2E06">
      <w:pPr>
        <w:pStyle w:val="PargrafodaLista"/>
        <w:tabs>
          <w:tab w:val="left" w:pos="709"/>
        </w:tabs>
        <w:spacing w:before="240" w:line="360" w:lineRule="auto"/>
        <w:ind w:right="-1"/>
        <w:jc w:val="both"/>
        <w:rPr>
          <w:rFonts w:ascii="Times New Roman" w:hAnsi="Times New Roman" w:cs="Times New Roman"/>
          <w:i/>
          <w:sz w:val="22"/>
          <w:szCs w:val="22"/>
        </w:rPr>
      </w:pPr>
      <w:r w:rsidRPr="002E71D2">
        <w:rPr>
          <w:rFonts w:ascii="Times New Roman" w:hAnsi="Times New Roman" w:cs="Times New Roman"/>
          <w:b/>
          <w:i/>
          <w:sz w:val="22"/>
          <w:szCs w:val="22"/>
        </w:rPr>
        <w:t>Art. 124</w:t>
      </w:r>
      <w:r w:rsidRPr="002E71D2">
        <w:rPr>
          <w:rFonts w:ascii="Times New Roman" w:hAnsi="Times New Roman" w:cs="Times New Roman"/>
          <w:i/>
          <w:sz w:val="22"/>
          <w:szCs w:val="22"/>
        </w:rPr>
        <w:t xml:space="preserve"> - São solidariamente obrigadas:</w:t>
      </w:r>
    </w:p>
    <w:p w:rsidR="001A5B11" w:rsidRPr="002E71D2" w:rsidRDefault="001A5B11" w:rsidP="006B2E06">
      <w:pPr>
        <w:pStyle w:val="PargrafodaLista"/>
        <w:tabs>
          <w:tab w:val="left" w:pos="0"/>
        </w:tabs>
        <w:spacing w:before="240" w:line="360" w:lineRule="auto"/>
        <w:ind w:left="0" w:right="-1"/>
        <w:jc w:val="both"/>
        <w:rPr>
          <w:rFonts w:ascii="Times New Roman" w:hAnsi="Times New Roman" w:cs="Times New Roman"/>
          <w:i/>
          <w:sz w:val="22"/>
          <w:szCs w:val="22"/>
        </w:rPr>
      </w:pPr>
      <w:r w:rsidRPr="002E71D2">
        <w:rPr>
          <w:rFonts w:ascii="Times New Roman" w:hAnsi="Times New Roman" w:cs="Times New Roman"/>
          <w:i/>
          <w:sz w:val="22"/>
          <w:szCs w:val="22"/>
        </w:rPr>
        <w:t>I - as pessoas que tenham interesse comum na situação que constitua o fato gerador da obrigação principal;</w:t>
      </w:r>
    </w:p>
    <w:p w:rsidR="001A5B11" w:rsidRPr="002E71D2" w:rsidRDefault="001A5B11" w:rsidP="006B2E06">
      <w:pPr>
        <w:pStyle w:val="PargrafodaLista"/>
        <w:tabs>
          <w:tab w:val="left" w:pos="0"/>
        </w:tabs>
        <w:spacing w:before="240" w:line="360" w:lineRule="auto"/>
        <w:ind w:left="0" w:right="-1"/>
        <w:jc w:val="both"/>
        <w:rPr>
          <w:rFonts w:ascii="Times New Roman" w:hAnsi="Times New Roman" w:cs="Times New Roman"/>
          <w:i/>
          <w:sz w:val="22"/>
          <w:szCs w:val="22"/>
        </w:rPr>
      </w:pPr>
      <w:r w:rsidRPr="002E71D2">
        <w:rPr>
          <w:rFonts w:ascii="Times New Roman" w:hAnsi="Times New Roman" w:cs="Times New Roman"/>
          <w:i/>
          <w:sz w:val="22"/>
          <w:szCs w:val="22"/>
        </w:rPr>
        <w:t>II - as pessoas expressamente designadas por lei.</w:t>
      </w:r>
    </w:p>
    <w:p w:rsidR="001A5B11" w:rsidRPr="002E71D2" w:rsidRDefault="001A5B11" w:rsidP="006B2E06">
      <w:pPr>
        <w:pStyle w:val="PargrafodaLista"/>
        <w:tabs>
          <w:tab w:val="left" w:pos="709"/>
        </w:tabs>
        <w:spacing w:before="240" w:line="360" w:lineRule="auto"/>
        <w:ind w:left="0" w:right="-1"/>
        <w:jc w:val="both"/>
        <w:rPr>
          <w:rFonts w:ascii="Times New Roman" w:hAnsi="Times New Roman" w:cs="Times New Roman"/>
          <w:i/>
          <w:sz w:val="22"/>
          <w:szCs w:val="22"/>
        </w:rPr>
      </w:pPr>
      <w:r w:rsidRPr="002E71D2">
        <w:rPr>
          <w:rFonts w:ascii="Times New Roman" w:hAnsi="Times New Roman" w:cs="Times New Roman"/>
          <w:i/>
          <w:sz w:val="22"/>
          <w:szCs w:val="22"/>
        </w:rPr>
        <w:t>Parágrafo único - A solidariedade referida neste artigo não comporta benefício de ordem.</w:t>
      </w:r>
    </w:p>
    <w:p w:rsidR="001A5B11" w:rsidRPr="002E71D2" w:rsidRDefault="001A5B11" w:rsidP="00065296">
      <w:pPr>
        <w:pStyle w:val="PargrafodaLista"/>
        <w:tabs>
          <w:tab w:val="left" w:pos="709"/>
        </w:tabs>
        <w:spacing w:line="360" w:lineRule="auto"/>
        <w:ind w:left="0" w:right="-1"/>
        <w:jc w:val="both"/>
        <w:rPr>
          <w:rFonts w:ascii="Times New Roman" w:hAnsi="Times New Roman" w:cs="Times New Roman"/>
          <w:sz w:val="22"/>
          <w:szCs w:val="22"/>
        </w:rPr>
      </w:pPr>
    </w:p>
    <w:p w:rsidR="00065296" w:rsidRPr="002E71D2" w:rsidRDefault="00104D11" w:rsidP="00065296">
      <w:pPr>
        <w:pStyle w:val="Corpodetexto"/>
        <w:spacing w:line="360" w:lineRule="auto"/>
        <w:ind w:right="-284" w:firstLine="709"/>
        <w:jc w:val="both"/>
        <w:rPr>
          <w:rFonts w:ascii="Times New Roman" w:hAnsi="Times New Roman" w:cs="Times New Roman"/>
        </w:rPr>
      </w:pPr>
      <w:r w:rsidRPr="002E71D2">
        <w:rPr>
          <w:rFonts w:ascii="Times New Roman" w:hAnsi="Times New Roman" w:cs="Times New Roman"/>
        </w:rPr>
        <w:t>Finalmente</w:t>
      </w:r>
      <w:r w:rsidR="00D23A18" w:rsidRPr="002E71D2">
        <w:rPr>
          <w:rFonts w:ascii="Times New Roman" w:hAnsi="Times New Roman" w:cs="Times New Roman"/>
        </w:rPr>
        <w:t>,</w:t>
      </w:r>
      <w:r w:rsidRPr="002E71D2">
        <w:rPr>
          <w:rFonts w:ascii="Times New Roman" w:hAnsi="Times New Roman" w:cs="Times New Roman"/>
        </w:rPr>
        <w:t xml:space="preserve"> t</w:t>
      </w:r>
      <w:r w:rsidR="00376138" w:rsidRPr="002E71D2">
        <w:rPr>
          <w:rFonts w:ascii="Times New Roman" w:hAnsi="Times New Roman" w:cs="Times New Roman"/>
        </w:rPr>
        <w:t xml:space="preserve">emos ainda que </w:t>
      </w:r>
      <w:r w:rsidR="001A5B11" w:rsidRPr="002E71D2">
        <w:rPr>
          <w:rFonts w:ascii="Times New Roman" w:hAnsi="Times New Roman" w:cs="Times New Roman"/>
        </w:rPr>
        <w:t xml:space="preserve">o CTN, no parágrafo único do artigo 142, determina que </w:t>
      </w:r>
      <w:r w:rsidR="00376138" w:rsidRPr="002E71D2">
        <w:rPr>
          <w:rFonts w:ascii="Times New Roman" w:hAnsi="Times New Roman" w:cs="Times New Roman"/>
        </w:rPr>
        <w:t>a atividade</w:t>
      </w:r>
      <w:r w:rsidR="001A5B11" w:rsidRPr="002E71D2">
        <w:rPr>
          <w:rFonts w:ascii="Times New Roman" w:hAnsi="Times New Roman" w:cs="Times New Roman"/>
        </w:rPr>
        <w:t xml:space="preserve"> administrativa de lançamento </w:t>
      </w:r>
      <w:proofErr w:type="gramStart"/>
      <w:r w:rsidR="001A5B11" w:rsidRPr="002E71D2">
        <w:rPr>
          <w:rFonts w:ascii="Times New Roman" w:hAnsi="Times New Roman" w:cs="Times New Roman"/>
        </w:rPr>
        <w:t>é</w:t>
      </w:r>
      <w:proofErr w:type="gramEnd"/>
      <w:r w:rsidR="001A5B11" w:rsidRPr="002E71D2">
        <w:rPr>
          <w:rFonts w:ascii="Times New Roman" w:hAnsi="Times New Roman" w:cs="Times New Roman"/>
        </w:rPr>
        <w:t xml:space="preserve"> vinculada e obrigatória, sob pena de responsabilidade funcional. </w:t>
      </w:r>
      <w:r w:rsidRPr="002E71D2">
        <w:rPr>
          <w:rFonts w:ascii="Times New Roman" w:hAnsi="Times New Roman" w:cs="Times New Roman"/>
        </w:rPr>
        <w:t xml:space="preserve">A inexistência de discricionariedade não se aplica, no entanto, como pode parecer à </w:t>
      </w:r>
      <w:r w:rsidRPr="002E71D2">
        <w:rPr>
          <w:rFonts w:ascii="Times New Roman" w:hAnsi="Times New Roman" w:cs="Times New Roman"/>
        </w:rPr>
        <w:lastRenderedPageBreak/>
        <w:t xml:space="preserve">primeira vista, apenas à atividade do lançamento, se estendendo a toda legislação tributária. A vinculação do ato praticado pelo Auditor Fiscal não é apenas à lei que disciplina a incidência ou não incidência dos tributos, mas sim a todo sistema normativo aplicável ao caso. </w:t>
      </w:r>
      <w:r w:rsidR="00065296" w:rsidRPr="002E71D2">
        <w:rPr>
          <w:rFonts w:ascii="Times New Roman" w:hAnsi="Times New Roman" w:cs="Times New Roman"/>
        </w:rPr>
        <w:t xml:space="preserve">Com efeito, a vinculação é </w:t>
      </w:r>
      <w:r w:rsidR="005B6880" w:rsidRPr="002E71D2">
        <w:rPr>
          <w:rFonts w:ascii="Times New Roman" w:hAnsi="Times New Roman" w:cs="Times New Roman"/>
        </w:rPr>
        <w:t xml:space="preserve">correlata </w:t>
      </w:r>
      <w:r w:rsidR="00065296" w:rsidRPr="002E71D2">
        <w:rPr>
          <w:rFonts w:ascii="Times New Roman" w:hAnsi="Times New Roman" w:cs="Times New Roman"/>
        </w:rPr>
        <w:t xml:space="preserve">às atividades realizadas pelo Fisco, e pode ser extraída do próprio conceito de tributo, o qual é definido no CTN como toda </w:t>
      </w:r>
      <w:r w:rsidR="00065296" w:rsidRPr="002E71D2">
        <w:rPr>
          <w:rFonts w:ascii="Times New Roman" w:hAnsi="Times New Roman" w:cs="Times New Roman"/>
          <w:i/>
        </w:rPr>
        <w:t>prestação pecuniária compulsória, em moeda ou cujo valor nela se possa exprimir, que não constitua sanção de ato ilícito, instituída em lei e cobrada mediante atividade administrativa plenamente vinculada</w:t>
      </w:r>
      <w:r w:rsidR="00065296" w:rsidRPr="002E71D2">
        <w:rPr>
          <w:rFonts w:ascii="Times New Roman" w:hAnsi="Times New Roman" w:cs="Times New Roman"/>
        </w:rPr>
        <w:t>. No entanto, essa característica (a vinculação) se projeta também para os atos que não envolvam diretamente a constituição e a cobrança do crédito tributário, mas também às que digam respeito a outras competências institucionais correlatas, como aquelas relativas a cadastros, habilitações, enquadramento em alíquotas diferenciadas, a análise de benefícios e incentivos fiscais e etc. Com efeito, aos agentes do Fisco foram conferidas diversas atribuições, qualificadas como atividades essenciais ao funcionamento do Estado.</w:t>
      </w:r>
    </w:p>
    <w:p w:rsidR="00891A45" w:rsidRPr="002E71D2" w:rsidRDefault="006B2E06" w:rsidP="006B2E06">
      <w:pPr>
        <w:pStyle w:val="Textodenotaderodap"/>
        <w:tabs>
          <w:tab w:val="left" w:pos="142"/>
          <w:tab w:val="left" w:pos="567"/>
          <w:tab w:val="left" w:pos="709"/>
        </w:tabs>
        <w:spacing w:line="360" w:lineRule="auto"/>
        <w:ind w:right="-284"/>
        <w:jc w:val="both"/>
        <w:rPr>
          <w:rFonts w:ascii="Times New Roman" w:hAnsi="Times New Roman" w:cs="Times New Roman"/>
          <w:sz w:val="22"/>
          <w:szCs w:val="22"/>
        </w:rPr>
      </w:pPr>
      <w:r w:rsidRPr="002E71D2">
        <w:rPr>
          <w:rFonts w:ascii="Times New Roman" w:hAnsi="Times New Roman" w:cs="Times New Roman"/>
          <w:sz w:val="22"/>
          <w:szCs w:val="22"/>
        </w:rPr>
        <w:tab/>
      </w:r>
      <w:r w:rsidRPr="002E71D2">
        <w:rPr>
          <w:rFonts w:ascii="Times New Roman" w:hAnsi="Times New Roman" w:cs="Times New Roman"/>
          <w:sz w:val="22"/>
          <w:szCs w:val="22"/>
        </w:rPr>
        <w:tab/>
      </w:r>
      <w:r w:rsidRPr="002E71D2">
        <w:rPr>
          <w:rFonts w:ascii="Times New Roman" w:hAnsi="Times New Roman" w:cs="Times New Roman"/>
          <w:sz w:val="22"/>
          <w:szCs w:val="22"/>
        </w:rPr>
        <w:tab/>
      </w:r>
      <w:r w:rsidR="00891A45" w:rsidRPr="002E71D2">
        <w:rPr>
          <w:rFonts w:ascii="Times New Roman" w:hAnsi="Times New Roman" w:cs="Times New Roman"/>
          <w:sz w:val="22"/>
          <w:szCs w:val="22"/>
        </w:rPr>
        <w:t>Ou seja, os Auditores não podem ignorar o disposto em nenhum tipo de legislação. E a Resolução n.º 720/2014, uma das mais importantes em matéria tributária, expedida para consolidar determinações e procedimentos das mais diversas obrigações acessórias, é textual na atribuição de responsabilidade solidária ao promotor de eventos. Não podemos ignorá-la. Ressaltamos que esta posição, de considerar tod</w:t>
      </w:r>
      <w:r w:rsidR="00065296" w:rsidRPr="002E71D2">
        <w:rPr>
          <w:rFonts w:ascii="Times New Roman" w:hAnsi="Times New Roman" w:cs="Times New Roman"/>
          <w:sz w:val="22"/>
          <w:szCs w:val="22"/>
        </w:rPr>
        <w:t xml:space="preserve">a legislação tributária como vinculada, </w:t>
      </w:r>
      <w:r w:rsidRPr="002E71D2">
        <w:rPr>
          <w:rFonts w:ascii="Times New Roman" w:hAnsi="Times New Roman" w:cs="Times New Roman"/>
          <w:sz w:val="22"/>
          <w:szCs w:val="22"/>
        </w:rPr>
        <w:t xml:space="preserve">já </w:t>
      </w:r>
      <w:r w:rsidR="00065296" w:rsidRPr="002E71D2">
        <w:rPr>
          <w:rFonts w:ascii="Times New Roman" w:hAnsi="Times New Roman" w:cs="Times New Roman"/>
          <w:sz w:val="22"/>
          <w:szCs w:val="22"/>
        </w:rPr>
        <w:t xml:space="preserve">foi </w:t>
      </w:r>
      <w:r w:rsidRPr="002E71D2">
        <w:rPr>
          <w:rFonts w:ascii="Times New Roman" w:hAnsi="Times New Roman" w:cs="Times New Roman"/>
          <w:sz w:val="22"/>
          <w:szCs w:val="22"/>
        </w:rPr>
        <w:t>afirmada</w:t>
      </w:r>
      <w:r w:rsidR="00065296" w:rsidRPr="002E71D2">
        <w:rPr>
          <w:rFonts w:ascii="Times New Roman" w:hAnsi="Times New Roman" w:cs="Times New Roman"/>
          <w:sz w:val="22"/>
          <w:szCs w:val="22"/>
        </w:rPr>
        <w:t xml:space="preserve"> por esta </w:t>
      </w:r>
      <w:r w:rsidRPr="002E71D2">
        <w:rPr>
          <w:rFonts w:ascii="Times New Roman" w:hAnsi="Times New Roman" w:cs="Times New Roman"/>
          <w:sz w:val="22"/>
          <w:szCs w:val="22"/>
        </w:rPr>
        <w:t>S</w:t>
      </w:r>
      <w:r w:rsidR="00065296" w:rsidRPr="002E71D2">
        <w:rPr>
          <w:rFonts w:ascii="Times New Roman" w:hAnsi="Times New Roman" w:cs="Times New Roman"/>
          <w:sz w:val="22"/>
          <w:szCs w:val="22"/>
        </w:rPr>
        <w:t>uperintendência em administrativos anteriores.</w:t>
      </w:r>
    </w:p>
    <w:p w:rsidR="00D23A18" w:rsidRPr="002E71D2" w:rsidRDefault="00D23A18" w:rsidP="006B2E06">
      <w:pPr>
        <w:pStyle w:val="Textodenotaderodap"/>
        <w:tabs>
          <w:tab w:val="left" w:pos="142"/>
          <w:tab w:val="left" w:pos="567"/>
          <w:tab w:val="left" w:pos="709"/>
        </w:tabs>
        <w:spacing w:line="360" w:lineRule="auto"/>
        <w:ind w:right="-284"/>
        <w:jc w:val="both"/>
        <w:rPr>
          <w:rFonts w:ascii="Times New Roman" w:hAnsi="Times New Roman" w:cs="Times New Roman"/>
          <w:sz w:val="22"/>
          <w:szCs w:val="22"/>
        </w:rPr>
      </w:pPr>
    </w:p>
    <w:p w:rsidR="00D23A18" w:rsidRPr="002E71D2" w:rsidRDefault="00D23A18" w:rsidP="00D23A18">
      <w:pPr>
        <w:pStyle w:val="Textodenotaderodap"/>
        <w:tabs>
          <w:tab w:val="left" w:pos="709"/>
        </w:tabs>
        <w:spacing w:line="360" w:lineRule="auto"/>
        <w:ind w:right="-284"/>
        <w:jc w:val="both"/>
        <w:rPr>
          <w:rFonts w:ascii="Times New Roman" w:hAnsi="Times New Roman" w:cs="Times New Roman"/>
          <w:sz w:val="22"/>
          <w:szCs w:val="22"/>
        </w:rPr>
      </w:pPr>
      <w:r w:rsidRPr="002E71D2">
        <w:rPr>
          <w:rFonts w:ascii="Times New Roman" w:hAnsi="Times New Roman" w:cs="Times New Roman"/>
          <w:sz w:val="22"/>
          <w:szCs w:val="22"/>
        </w:rPr>
        <w:tab/>
        <w:t xml:space="preserve">Por fim, acreditamos que não somos o fórum adequado para a análise e decisão quanto à legalidade </w:t>
      </w:r>
      <w:r w:rsidR="005B6880" w:rsidRPr="002E71D2">
        <w:rPr>
          <w:rFonts w:ascii="Times New Roman" w:hAnsi="Times New Roman" w:cs="Times New Roman"/>
          <w:sz w:val="22"/>
          <w:szCs w:val="22"/>
        </w:rPr>
        <w:t xml:space="preserve">e eficácia </w:t>
      </w:r>
      <w:r w:rsidRPr="002E71D2">
        <w:rPr>
          <w:rFonts w:ascii="Times New Roman" w:hAnsi="Times New Roman" w:cs="Times New Roman"/>
          <w:sz w:val="22"/>
          <w:szCs w:val="22"/>
        </w:rPr>
        <w:t>de dispositivos da legislação tributária estadual. Cabendo-nos, unicamente, cumpri-la.</w:t>
      </w:r>
    </w:p>
    <w:p w:rsidR="00355E3E" w:rsidRPr="002E71D2" w:rsidRDefault="00E546A6" w:rsidP="00065296">
      <w:pPr>
        <w:pStyle w:val="PargrafodaLista"/>
        <w:tabs>
          <w:tab w:val="left" w:pos="284"/>
          <w:tab w:val="left" w:pos="567"/>
          <w:tab w:val="left" w:pos="709"/>
        </w:tabs>
        <w:spacing w:line="360" w:lineRule="auto"/>
        <w:ind w:left="0" w:right="-1"/>
        <w:jc w:val="both"/>
        <w:rPr>
          <w:rFonts w:ascii="Times New Roman" w:hAnsi="Times New Roman" w:cs="Times New Roman"/>
          <w:b/>
          <w:sz w:val="22"/>
          <w:szCs w:val="22"/>
        </w:rPr>
      </w:pPr>
      <w:r w:rsidRPr="002E71D2">
        <w:rPr>
          <w:rFonts w:ascii="Times New Roman" w:hAnsi="Times New Roman" w:cs="Times New Roman"/>
          <w:sz w:val="22"/>
          <w:szCs w:val="22"/>
        </w:rPr>
        <w:tab/>
      </w:r>
      <w:r w:rsidRPr="002E71D2">
        <w:rPr>
          <w:rFonts w:ascii="Times New Roman" w:hAnsi="Times New Roman" w:cs="Times New Roman"/>
          <w:sz w:val="22"/>
          <w:szCs w:val="22"/>
        </w:rPr>
        <w:tab/>
      </w:r>
    </w:p>
    <w:p w:rsidR="00D23A18" w:rsidRPr="002E71D2" w:rsidRDefault="00D23A18" w:rsidP="00065296">
      <w:pPr>
        <w:widowControl w:val="0"/>
        <w:autoSpaceDE w:val="0"/>
        <w:spacing w:after="0" w:line="360" w:lineRule="auto"/>
        <w:ind w:right="-1" w:firstLine="708"/>
        <w:jc w:val="center"/>
        <w:rPr>
          <w:rFonts w:ascii="Times New Roman" w:hAnsi="Times New Roman" w:cs="Times New Roman"/>
          <w:b/>
        </w:rPr>
      </w:pPr>
    </w:p>
    <w:p w:rsidR="00B63325" w:rsidRPr="002E71D2" w:rsidRDefault="00B63325" w:rsidP="00065296">
      <w:pPr>
        <w:widowControl w:val="0"/>
        <w:autoSpaceDE w:val="0"/>
        <w:spacing w:after="0" w:line="360" w:lineRule="auto"/>
        <w:ind w:right="-1" w:firstLine="708"/>
        <w:jc w:val="center"/>
        <w:rPr>
          <w:rFonts w:ascii="Times New Roman" w:hAnsi="Times New Roman" w:cs="Times New Roman"/>
          <w:b/>
        </w:rPr>
      </w:pPr>
      <w:r w:rsidRPr="002E71D2">
        <w:rPr>
          <w:rFonts w:ascii="Times New Roman" w:hAnsi="Times New Roman" w:cs="Times New Roman"/>
          <w:b/>
        </w:rPr>
        <w:t>III – RESPOSTA</w:t>
      </w:r>
    </w:p>
    <w:p w:rsidR="0007415F" w:rsidRPr="002E71D2" w:rsidRDefault="0007415F" w:rsidP="00065296">
      <w:pPr>
        <w:widowControl w:val="0"/>
        <w:autoSpaceDE w:val="0"/>
        <w:spacing w:after="0" w:line="360" w:lineRule="auto"/>
        <w:ind w:right="-1" w:firstLine="708"/>
        <w:jc w:val="both"/>
        <w:rPr>
          <w:rFonts w:ascii="Times New Roman" w:hAnsi="Times New Roman" w:cs="Times New Roman"/>
          <w:b/>
        </w:rPr>
      </w:pPr>
    </w:p>
    <w:p w:rsidR="00E80E2D" w:rsidRPr="002E71D2" w:rsidRDefault="00E80E2D" w:rsidP="00065296">
      <w:pPr>
        <w:widowControl w:val="0"/>
        <w:autoSpaceDE w:val="0"/>
        <w:spacing w:after="0" w:line="360" w:lineRule="auto"/>
        <w:ind w:right="-1" w:firstLine="708"/>
        <w:jc w:val="both"/>
        <w:rPr>
          <w:rFonts w:ascii="Times New Roman" w:hAnsi="Times New Roman" w:cs="Times New Roman"/>
        </w:rPr>
      </w:pPr>
      <w:r w:rsidRPr="002E71D2">
        <w:rPr>
          <w:rFonts w:ascii="Times New Roman" w:hAnsi="Times New Roman" w:cs="Times New Roman"/>
        </w:rPr>
        <w:t xml:space="preserve">Quanto </w:t>
      </w:r>
      <w:r w:rsidR="009C28A2" w:rsidRPr="002E71D2">
        <w:rPr>
          <w:rFonts w:ascii="Times New Roman" w:hAnsi="Times New Roman" w:cs="Times New Roman"/>
        </w:rPr>
        <w:t>à</w:t>
      </w:r>
      <w:r w:rsidRPr="002E71D2">
        <w:rPr>
          <w:rFonts w:ascii="Times New Roman" w:hAnsi="Times New Roman" w:cs="Times New Roman"/>
        </w:rPr>
        <w:t xml:space="preserve"> primeira conclusão da consulente, não foi necessário nem discussão do assunto</w:t>
      </w:r>
      <w:r w:rsidR="005B6880" w:rsidRPr="002E71D2">
        <w:rPr>
          <w:rFonts w:ascii="Times New Roman" w:hAnsi="Times New Roman" w:cs="Times New Roman"/>
        </w:rPr>
        <w:t>. As atividades atualmente desenvolvidas pela consulente, de divulgação e locação de espaços estão fora da incidência do ICMS, e a consulente não pode ser considerada contribuinte deste imposto.</w:t>
      </w:r>
    </w:p>
    <w:p w:rsidR="005B6880" w:rsidRPr="002E71D2" w:rsidRDefault="005B6880" w:rsidP="00065296">
      <w:pPr>
        <w:widowControl w:val="0"/>
        <w:autoSpaceDE w:val="0"/>
        <w:spacing w:after="0" w:line="360" w:lineRule="auto"/>
        <w:ind w:right="-1" w:firstLine="708"/>
        <w:jc w:val="both"/>
        <w:rPr>
          <w:rFonts w:ascii="Times New Roman" w:hAnsi="Times New Roman" w:cs="Times New Roman"/>
        </w:rPr>
      </w:pPr>
    </w:p>
    <w:p w:rsidR="005B6880" w:rsidRPr="002E71D2" w:rsidRDefault="005B6880" w:rsidP="00065296">
      <w:pPr>
        <w:widowControl w:val="0"/>
        <w:autoSpaceDE w:val="0"/>
        <w:spacing w:after="0" w:line="360" w:lineRule="auto"/>
        <w:ind w:right="-1" w:firstLine="708"/>
        <w:jc w:val="both"/>
        <w:rPr>
          <w:rFonts w:ascii="Times New Roman" w:hAnsi="Times New Roman" w:cs="Times New Roman"/>
        </w:rPr>
      </w:pPr>
      <w:r w:rsidRPr="002E71D2">
        <w:rPr>
          <w:rFonts w:ascii="Times New Roman" w:hAnsi="Times New Roman" w:cs="Times New Roman"/>
        </w:rPr>
        <w:t xml:space="preserve">Quanto </w:t>
      </w:r>
      <w:r w:rsidR="009C28A2" w:rsidRPr="002E71D2">
        <w:rPr>
          <w:rFonts w:ascii="Times New Roman" w:hAnsi="Times New Roman" w:cs="Times New Roman"/>
        </w:rPr>
        <w:t>à segunda conclusão, respondemos que, de fato, não existe lei que atribua ao promotor do evento a responsabilidade pelo pagamento do ICMS eventualmente não recolhido pelos participantes da Feira da Providência, entretanto, existe legislação estadual, que expressamente determina esta responsabilidade. Legislação esta que não pode ser ignorada pelos agentes do fisco, pois a mesma é considerada vinculada. Ressaltando-se ainda a inadequação deste órgão para analisar e decidir sobre a legalidade e eficácia de dispositivos da legislação</w:t>
      </w:r>
      <w:r w:rsidR="006F16CE" w:rsidRPr="002E71D2">
        <w:rPr>
          <w:rFonts w:ascii="Times New Roman" w:hAnsi="Times New Roman" w:cs="Times New Roman"/>
        </w:rPr>
        <w:t xml:space="preserve"> tributária estadual</w:t>
      </w:r>
      <w:r w:rsidR="009C28A2" w:rsidRPr="002E71D2">
        <w:rPr>
          <w:rFonts w:ascii="Times New Roman" w:hAnsi="Times New Roman" w:cs="Times New Roman"/>
        </w:rPr>
        <w:t>.</w:t>
      </w:r>
    </w:p>
    <w:p w:rsidR="005B6880" w:rsidRPr="002E71D2" w:rsidRDefault="005B6880" w:rsidP="00065296">
      <w:pPr>
        <w:widowControl w:val="0"/>
        <w:autoSpaceDE w:val="0"/>
        <w:spacing w:after="0" w:line="360" w:lineRule="auto"/>
        <w:ind w:right="-1" w:firstLine="708"/>
        <w:jc w:val="both"/>
        <w:rPr>
          <w:rFonts w:ascii="Times New Roman" w:hAnsi="Times New Roman" w:cs="Times New Roman"/>
        </w:rPr>
      </w:pPr>
    </w:p>
    <w:p w:rsidR="00FA7F02" w:rsidRPr="002E71D2" w:rsidRDefault="002D6DED" w:rsidP="00065296">
      <w:pPr>
        <w:pStyle w:val="PargrafodaLista"/>
        <w:tabs>
          <w:tab w:val="left" w:pos="284"/>
          <w:tab w:val="left" w:pos="709"/>
        </w:tabs>
        <w:spacing w:line="360" w:lineRule="auto"/>
        <w:ind w:left="0" w:right="-1"/>
        <w:jc w:val="both"/>
        <w:rPr>
          <w:rFonts w:ascii="Times New Roman" w:hAnsi="Times New Roman" w:cs="Times New Roman"/>
          <w:sz w:val="22"/>
          <w:szCs w:val="22"/>
        </w:rPr>
      </w:pPr>
      <w:r w:rsidRPr="002E71D2">
        <w:rPr>
          <w:rFonts w:ascii="Times New Roman" w:hAnsi="Times New Roman" w:cs="Times New Roman"/>
          <w:sz w:val="22"/>
          <w:szCs w:val="22"/>
        </w:rPr>
        <w:tab/>
      </w:r>
      <w:r w:rsidR="00FA7F02" w:rsidRPr="002E71D2">
        <w:rPr>
          <w:rFonts w:ascii="Times New Roman" w:hAnsi="Times New Roman" w:cs="Times New Roman"/>
          <w:sz w:val="22"/>
          <w:szCs w:val="22"/>
        </w:rPr>
        <w:tab/>
        <w:t>Fique a consulente ciente de que esta consulta perderá automaticamente a sua eficácia normativa em caso de mudança de entendimento por parte da Administração Tributária</w:t>
      </w:r>
      <w:proofErr w:type="gramStart"/>
      <w:r w:rsidR="00FA7F02" w:rsidRPr="002E71D2">
        <w:rPr>
          <w:rFonts w:ascii="Times New Roman" w:hAnsi="Times New Roman" w:cs="Times New Roman"/>
          <w:sz w:val="22"/>
          <w:szCs w:val="22"/>
        </w:rPr>
        <w:t xml:space="preserve"> ou seja</w:t>
      </w:r>
      <w:proofErr w:type="gramEnd"/>
      <w:r w:rsidR="00FA7F02" w:rsidRPr="002E71D2">
        <w:rPr>
          <w:rFonts w:ascii="Times New Roman" w:hAnsi="Times New Roman" w:cs="Times New Roman"/>
          <w:sz w:val="22"/>
          <w:szCs w:val="22"/>
        </w:rPr>
        <w:t xml:space="preserve"> editada norma superveniente dispondo de forma contrária.</w:t>
      </w:r>
    </w:p>
    <w:p w:rsidR="00FA7F02" w:rsidRPr="002E71D2" w:rsidRDefault="00FA7F02" w:rsidP="00065296">
      <w:pPr>
        <w:pStyle w:val="PargrafodaLista"/>
        <w:spacing w:line="360" w:lineRule="auto"/>
        <w:ind w:left="0" w:right="-1" w:firstLine="708"/>
        <w:jc w:val="both"/>
        <w:rPr>
          <w:rFonts w:ascii="Times New Roman" w:hAnsi="Times New Roman" w:cs="Times New Roman"/>
          <w:sz w:val="22"/>
          <w:szCs w:val="22"/>
        </w:rPr>
      </w:pPr>
    </w:p>
    <w:p w:rsidR="004F406A" w:rsidRPr="002E71D2" w:rsidRDefault="004F406A" w:rsidP="00065296">
      <w:pPr>
        <w:pStyle w:val="PargrafodaLista"/>
        <w:spacing w:line="360" w:lineRule="auto"/>
        <w:ind w:left="0" w:right="-1" w:firstLine="708"/>
        <w:jc w:val="both"/>
        <w:rPr>
          <w:rFonts w:ascii="Times New Roman" w:hAnsi="Times New Roman" w:cs="Times New Roman"/>
          <w:sz w:val="22"/>
          <w:szCs w:val="22"/>
        </w:rPr>
      </w:pPr>
    </w:p>
    <w:p w:rsidR="004F7343" w:rsidRPr="002E71D2" w:rsidRDefault="004F7343" w:rsidP="00065296">
      <w:pPr>
        <w:spacing w:after="0" w:line="360" w:lineRule="auto"/>
        <w:ind w:right="-1"/>
        <w:jc w:val="center"/>
        <w:rPr>
          <w:rFonts w:ascii="Times New Roman" w:eastAsia="Calibri" w:hAnsi="Times New Roman" w:cs="Times New Roman"/>
        </w:rPr>
      </w:pPr>
      <w:r w:rsidRPr="002E71D2">
        <w:rPr>
          <w:rFonts w:ascii="Times New Roman" w:eastAsia="Calibri" w:hAnsi="Times New Roman" w:cs="Times New Roman"/>
        </w:rPr>
        <w:t>À Vossa Consideração.</w:t>
      </w:r>
    </w:p>
    <w:p w:rsidR="004F7343" w:rsidRPr="002E71D2" w:rsidRDefault="004F7343" w:rsidP="00065296">
      <w:pPr>
        <w:spacing w:after="0" w:line="360" w:lineRule="auto"/>
        <w:ind w:right="-1"/>
        <w:jc w:val="center"/>
        <w:rPr>
          <w:rFonts w:ascii="Times New Roman" w:eastAsia="Calibri" w:hAnsi="Times New Roman" w:cs="Times New Roman"/>
        </w:rPr>
      </w:pPr>
      <w:r w:rsidRPr="002E71D2">
        <w:rPr>
          <w:rFonts w:ascii="Times New Roman" w:eastAsia="Calibri" w:hAnsi="Times New Roman" w:cs="Times New Roman"/>
        </w:rPr>
        <w:t>CCJT, em</w:t>
      </w:r>
      <w:proofErr w:type="gramStart"/>
      <w:r w:rsidR="004C0F0B" w:rsidRPr="002E71D2">
        <w:rPr>
          <w:rFonts w:ascii="Times New Roman" w:eastAsia="Calibri" w:hAnsi="Times New Roman" w:cs="Times New Roman"/>
        </w:rPr>
        <w:t xml:space="preserve">  </w:t>
      </w:r>
      <w:r w:rsidR="007F0E58" w:rsidRPr="002E71D2">
        <w:rPr>
          <w:rFonts w:ascii="Times New Roman" w:eastAsia="Calibri" w:hAnsi="Times New Roman" w:cs="Times New Roman"/>
        </w:rPr>
        <w:t xml:space="preserve"> </w:t>
      </w:r>
      <w:r w:rsidR="000074CB" w:rsidRPr="002E71D2">
        <w:rPr>
          <w:rFonts w:ascii="Times New Roman" w:eastAsia="Calibri" w:hAnsi="Times New Roman" w:cs="Times New Roman"/>
        </w:rPr>
        <w:t xml:space="preserve"> </w:t>
      </w:r>
      <w:proofErr w:type="gramEnd"/>
      <w:r w:rsidRPr="002E71D2">
        <w:rPr>
          <w:rFonts w:ascii="Times New Roman" w:eastAsia="Calibri" w:hAnsi="Times New Roman" w:cs="Times New Roman"/>
        </w:rPr>
        <w:t xml:space="preserve">de </w:t>
      </w:r>
      <w:r w:rsidR="00B376C6" w:rsidRPr="002E71D2">
        <w:rPr>
          <w:rFonts w:ascii="Times New Roman" w:eastAsia="Calibri" w:hAnsi="Times New Roman" w:cs="Times New Roman"/>
        </w:rPr>
        <w:t>outubro</w:t>
      </w:r>
      <w:r w:rsidR="00785153" w:rsidRPr="002E71D2">
        <w:rPr>
          <w:rFonts w:ascii="Times New Roman" w:eastAsia="Calibri" w:hAnsi="Times New Roman" w:cs="Times New Roman"/>
        </w:rPr>
        <w:t xml:space="preserve"> </w:t>
      </w:r>
      <w:r w:rsidRPr="002E71D2">
        <w:rPr>
          <w:rFonts w:ascii="Times New Roman" w:eastAsia="Calibri" w:hAnsi="Times New Roman" w:cs="Times New Roman"/>
        </w:rPr>
        <w:t>de 201</w:t>
      </w:r>
      <w:r w:rsidR="00C55E20" w:rsidRPr="002E71D2">
        <w:rPr>
          <w:rFonts w:ascii="Times New Roman" w:eastAsia="Calibri" w:hAnsi="Times New Roman" w:cs="Times New Roman"/>
        </w:rPr>
        <w:t>7</w:t>
      </w:r>
      <w:r w:rsidRPr="002E71D2">
        <w:rPr>
          <w:rFonts w:ascii="Times New Roman" w:eastAsia="Calibri" w:hAnsi="Times New Roman" w:cs="Times New Roman"/>
        </w:rPr>
        <w:t>.</w:t>
      </w:r>
    </w:p>
    <w:p w:rsidR="00785153" w:rsidRPr="002E71D2" w:rsidRDefault="00785153" w:rsidP="00065296">
      <w:pPr>
        <w:spacing w:after="0" w:line="360" w:lineRule="auto"/>
        <w:ind w:right="-1"/>
        <w:jc w:val="both"/>
        <w:rPr>
          <w:rFonts w:ascii="Times New Roman" w:hAnsi="Times New Roman" w:cs="Times New Roman"/>
          <w:b/>
        </w:rPr>
      </w:pPr>
    </w:p>
    <w:p w:rsidR="00B303CB" w:rsidRPr="002E71D2" w:rsidRDefault="00B303CB" w:rsidP="00065296">
      <w:pPr>
        <w:spacing w:after="0" w:line="360" w:lineRule="auto"/>
        <w:ind w:right="-1"/>
        <w:jc w:val="both"/>
        <w:rPr>
          <w:rFonts w:ascii="Times New Roman" w:hAnsi="Times New Roman" w:cs="Times New Roman"/>
          <w:b/>
        </w:rPr>
      </w:pPr>
    </w:p>
    <w:p w:rsidR="004F7343" w:rsidRPr="002E71D2" w:rsidRDefault="004F7343" w:rsidP="00065296">
      <w:pPr>
        <w:spacing w:after="0" w:line="360" w:lineRule="auto"/>
        <w:ind w:right="-1"/>
        <w:jc w:val="center"/>
        <w:rPr>
          <w:rFonts w:ascii="Times New Roman" w:hAnsi="Times New Roman" w:cs="Times New Roman"/>
          <w:b/>
        </w:rPr>
      </w:pPr>
      <w:r w:rsidRPr="002E71D2">
        <w:rPr>
          <w:rFonts w:ascii="Times New Roman" w:hAnsi="Times New Roman" w:cs="Times New Roman"/>
          <w:b/>
          <w:bCs/>
        </w:rPr>
        <w:t>Ivo D. Boruchovitch</w:t>
      </w:r>
    </w:p>
    <w:p w:rsidR="004F7343" w:rsidRPr="002E71D2" w:rsidRDefault="004F7343" w:rsidP="00065296">
      <w:pPr>
        <w:spacing w:after="0" w:line="360" w:lineRule="auto"/>
        <w:ind w:right="-1"/>
        <w:jc w:val="center"/>
        <w:rPr>
          <w:rFonts w:ascii="Times New Roman" w:hAnsi="Times New Roman" w:cs="Times New Roman"/>
          <w:b/>
        </w:rPr>
      </w:pPr>
      <w:r w:rsidRPr="002E71D2">
        <w:rPr>
          <w:rFonts w:ascii="Times New Roman" w:hAnsi="Times New Roman" w:cs="Times New Roman"/>
          <w:b/>
        </w:rPr>
        <w:t>Auditor Fiscal da Receita Estadual</w:t>
      </w:r>
    </w:p>
    <w:p w:rsidR="0010027F" w:rsidRPr="002E71D2" w:rsidRDefault="004F7343" w:rsidP="00065296">
      <w:pPr>
        <w:pStyle w:val="Recuodecorpodetexto"/>
        <w:spacing w:after="0" w:line="360" w:lineRule="auto"/>
        <w:ind w:left="0" w:right="-1"/>
        <w:jc w:val="center"/>
        <w:rPr>
          <w:b/>
          <w:sz w:val="22"/>
          <w:szCs w:val="22"/>
        </w:rPr>
      </w:pPr>
      <w:r w:rsidRPr="002E71D2">
        <w:rPr>
          <w:b/>
          <w:sz w:val="22"/>
          <w:szCs w:val="22"/>
        </w:rPr>
        <w:t>Mat. 0.294860-2</w:t>
      </w:r>
    </w:p>
    <w:p w:rsidR="002753D0" w:rsidRPr="002E71D2" w:rsidRDefault="002753D0" w:rsidP="00065296">
      <w:pPr>
        <w:pStyle w:val="Recuodecorpodetexto"/>
        <w:spacing w:after="0" w:line="360" w:lineRule="auto"/>
        <w:ind w:left="0" w:right="-1"/>
        <w:rPr>
          <w:sz w:val="22"/>
          <w:szCs w:val="22"/>
        </w:rPr>
      </w:pPr>
      <w:r w:rsidRPr="002E71D2">
        <w:rPr>
          <w:sz w:val="22"/>
          <w:szCs w:val="22"/>
        </w:rPr>
        <w:br w:type="page"/>
      </w:r>
    </w:p>
    <w:tbl>
      <w:tblPr>
        <w:tblW w:w="31680" w:type="dxa"/>
        <w:tblLayout w:type="fixed"/>
        <w:tblCellMar>
          <w:left w:w="70" w:type="dxa"/>
          <w:right w:w="70" w:type="dxa"/>
        </w:tblCellMar>
        <w:tblLook w:val="04A0" w:firstRow="1" w:lastRow="0" w:firstColumn="1" w:lastColumn="0" w:noHBand="0" w:noVBand="1"/>
      </w:tblPr>
      <w:tblGrid>
        <w:gridCol w:w="1502"/>
        <w:gridCol w:w="182"/>
        <w:gridCol w:w="6041"/>
        <w:gridCol w:w="8003"/>
        <w:gridCol w:w="7976"/>
        <w:gridCol w:w="7976"/>
      </w:tblGrid>
      <w:tr w:rsidR="00011AF2" w:rsidRPr="002E71D2" w:rsidTr="003973AA">
        <w:trPr>
          <w:trHeight w:val="260"/>
        </w:trPr>
        <w:tc>
          <w:tcPr>
            <w:tcW w:w="1502" w:type="dxa"/>
            <w:hideMark/>
          </w:tcPr>
          <w:p w:rsidR="00011AF2" w:rsidRPr="002E71D2" w:rsidRDefault="00011AF2"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lastRenderedPageBreak/>
              <w:t>Interessado</w:t>
            </w:r>
          </w:p>
        </w:tc>
        <w:tc>
          <w:tcPr>
            <w:tcW w:w="182" w:type="dxa"/>
            <w:hideMark/>
          </w:tcPr>
          <w:p w:rsidR="00011AF2" w:rsidRPr="002E71D2" w:rsidRDefault="00011AF2" w:rsidP="00065296">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w:t>
            </w:r>
          </w:p>
        </w:tc>
        <w:tc>
          <w:tcPr>
            <w:tcW w:w="6041" w:type="dxa"/>
          </w:tcPr>
          <w:p w:rsidR="00011AF2" w:rsidRPr="002E71D2" w:rsidRDefault="00C06529" w:rsidP="00C06529">
            <w:pPr>
              <w:rPr>
                <w:rFonts w:ascii="Times New Roman" w:hAnsi="Times New Roman" w:cs="Times New Roman"/>
                <w:b/>
                <w:smallCaps/>
              </w:rPr>
            </w:pPr>
            <w:proofErr w:type="gramStart"/>
            <w:r w:rsidRPr="002E71D2">
              <w:rPr>
                <w:rFonts w:ascii="Times New Roman" w:hAnsi="Times New Roman" w:cs="Times New Roman"/>
                <w:b/>
                <w:smallCaps/>
              </w:rPr>
              <w:t>banco</w:t>
            </w:r>
            <w:proofErr w:type="gramEnd"/>
            <w:r w:rsidRPr="002E71D2">
              <w:rPr>
                <w:rFonts w:ascii="Times New Roman" w:hAnsi="Times New Roman" w:cs="Times New Roman"/>
                <w:b/>
                <w:smallCaps/>
              </w:rPr>
              <w:t xml:space="preserve">  da providência</w:t>
            </w:r>
          </w:p>
        </w:tc>
        <w:tc>
          <w:tcPr>
            <w:tcW w:w="8003" w:type="dxa"/>
          </w:tcPr>
          <w:p w:rsidR="00011AF2" w:rsidRPr="002E71D2" w:rsidRDefault="00011AF2" w:rsidP="00065296">
            <w:pPr>
              <w:keepLines/>
              <w:widowControl w:val="0"/>
              <w:autoSpaceDE w:val="0"/>
              <w:spacing w:after="0" w:line="360" w:lineRule="auto"/>
              <w:ind w:left="576" w:right="-1"/>
              <w:jc w:val="both"/>
              <w:outlineLvl w:val="1"/>
              <w:rPr>
                <w:rFonts w:ascii="Times New Roman" w:eastAsia="Times New Roman" w:hAnsi="Times New Roman" w:cs="Times New Roman"/>
                <w:b/>
                <w:smallCaps/>
                <w:lang w:eastAsia="ar-SA"/>
              </w:rPr>
            </w:pPr>
          </w:p>
        </w:tc>
        <w:tc>
          <w:tcPr>
            <w:tcW w:w="7976" w:type="dxa"/>
          </w:tcPr>
          <w:p w:rsidR="00011AF2" w:rsidRPr="002E71D2" w:rsidRDefault="00011AF2"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p>
        </w:tc>
        <w:tc>
          <w:tcPr>
            <w:tcW w:w="7976" w:type="dxa"/>
          </w:tcPr>
          <w:p w:rsidR="00011AF2" w:rsidRPr="002E71D2" w:rsidRDefault="00011AF2"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p>
        </w:tc>
      </w:tr>
      <w:tr w:rsidR="003973AA" w:rsidRPr="002E71D2" w:rsidTr="003973AA">
        <w:trPr>
          <w:trHeight w:val="260"/>
        </w:trPr>
        <w:tc>
          <w:tcPr>
            <w:tcW w:w="1502" w:type="dxa"/>
            <w:hideMark/>
          </w:tcPr>
          <w:p w:rsidR="003973AA" w:rsidRPr="002E71D2" w:rsidRDefault="003973AA"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Inscrição</w:t>
            </w:r>
          </w:p>
        </w:tc>
        <w:tc>
          <w:tcPr>
            <w:tcW w:w="182" w:type="dxa"/>
            <w:hideMark/>
          </w:tcPr>
          <w:p w:rsidR="003973AA" w:rsidRPr="002E71D2" w:rsidRDefault="003973AA" w:rsidP="00065296">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w:t>
            </w:r>
          </w:p>
        </w:tc>
        <w:tc>
          <w:tcPr>
            <w:tcW w:w="6041" w:type="dxa"/>
          </w:tcPr>
          <w:p w:rsidR="003973AA" w:rsidRPr="002E71D2" w:rsidRDefault="003973AA" w:rsidP="00C06529">
            <w:pPr>
              <w:rPr>
                <w:rFonts w:ascii="Times New Roman" w:hAnsi="Times New Roman" w:cs="Times New Roman"/>
                <w:b/>
                <w:smallCaps/>
              </w:rPr>
            </w:pPr>
          </w:p>
        </w:tc>
        <w:tc>
          <w:tcPr>
            <w:tcW w:w="8003" w:type="dxa"/>
          </w:tcPr>
          <w:p w:rsidR="003973AA" w:rsidRPr="002E71D2" w:rsidRDefault="003973AA"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p>
        </w:tc>
        <w:tc>
          <w:tcPr>
            <w:tcW w:w="7976" w:type="dxa"/>
          </w:tcPr>
          <w:p w:rsidR="003973AA" w:rsidRPr="002E71D2" w:rsidRDefault="003973AA"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p>
        </w:tc>
        <w:tc>
          <w:tcPr>
            <w:tcW w:w="7976" w:type="dxa"/>
          </w:tcPr>
          <w:p w:rsidR="003973AA" w:rsidRPr="002E71D2" w:rsidRDefault="003973AA"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p>
        </w:tc>
      </w:tr>
      <w:tr w:rsidR="003973AA" w:rsidRPr="002E71D2" w:rsidTr="003973AA">
        <w:trPr>
          <w:trHeight w:val="260"/>
        </w:trPr>
        <w:tc>
          <w:tcPr>
            <w:tcW w:w="1502" w:type="dxa"/>
            <w:hideMark/>
          </w:tcPr>
          <w:p w:rsidR="003973AA" w:rsidRPr="002E71D2" w:rsidRDefault="003973AA"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CNPJ</w:t>
            </w:r>
          </w:p>
        </w:tc>
        <w:tc>
          <w:tcPr>
            <w:tcW w:w="182" w:type="dxa"/>
            <w:hideMark/>
          </w:tcPr>
          <w:p w:rsidR="003973AA" w:rsidRPr="002E71D2" w:rsidRDefault="003973AA" w:rsidP="00065296">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w:t>
            </w:r>
          </w:p>
        </w:tc>
        <w:tc>
          <w:tcPr>
            <w:tcW w:w="6041" w:type="dxa"/>
          </w:tcPr>
          <w:p w:rsidR="003973AA" w:rsidRPr="002E71D2" w:rsidRDefault="00C06529" w:rsidP="00C06529">
            <w:pPr>
              <w:rPr>
                <w:rFonts w:ascii="Times New Roman" w:hAnsi="Times New Roman" w:cs="Times New Roman"/>
                <w:b/>
                <w:smallCaps/>
              </w:rPr>
            </w:pPr>
            <w:r w:rsidRPr="002E71D2">
              <w:rPr>
                <w:rFonts w:ascii="Times New Roman" w:hAnsi="Times New Roman" w:cs="Times New Roman"/>
                <w:b/>
                <w:smallCaps/>
              </w:rPr>
              <w:t>33.645.086/0001-69</w:t>
            </w:r>
          </w:p>
        </w:tc>
        <w:tc>
          <w:tcPr>
            <w:tcW w:w="8003" w:type="dxa"/>
          </w:tcPr>
          <w:p w:rsidR="003973AA" w:rsidRPr="002E71D2" w:rsidRDefault="003973AA"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p>
        </w:tc>
        <w:tc>
          <w:tcPr>
            <w:tcW w:w="7976" w:type="dxa"/>
          </w:tcPr>
          <w:p w:rsidR="003973AA" w:rsidRPr="002E71D2" w:rsidRDefault="003973AA"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p>
        </w:tc>
        <w:tc>
          <w:tcPr>
            <w:tcW w:w="7976" w:type="dxa"/>
          </w:tcPr>
          <w:p w:rsidR="003973AA" w:rsidRPr="002E71D2" w:rsidRDefault="003973AA"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p>
        </w:tc>
      </w:tr>
      <w:tr w:rsidR="003973AA" w:rsidRPr="002E71D2" w:rsidTr="003973AA">
        <w:trPr>
          <w:trHeight w:val="260"/>
        </w:trPr>
        <w:tc>
          <w:tcPr>
            <w:tcW w:w="1502" w:type="dxa"/>
            <w:hideMark/>
          </w:tcPr>
          <w:p w:rsidR="003973AA" w:rsidRPr="002E71D2" w:rsidRDefault="003973AA"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Origem</w:t>
            </w:r>
          </w:p>
        </w:tc>
        <w:tc>
          <w:tcPr>
            <w:tcW w:w="182" w:type="dxa"/>
            <w:hideMark/>
          </w:tcPr>
          <w:p w:rsidR="003973AA" w:rsidRPr="002E71D2" w:rsidRDefault="003973AA" w:rsidP="00065296">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w:t>
            </w:r>
          </w:p>
        </w:tc>
        <w:tc>
          <w:tcPr>
            <w:tcW w:w="6041" w:type="dxa"/>
          </w:tcPr>
          <w:p w:rsidR="003973AA" w:rsidRPr="002E71D2" w:rsidRDefault="00C06529" w:rsidP="00C06529">
            <w:pPr>
              <w:rPr>
                <w:rFonts w:ascii="Times New Roman" w:hAnsi="Times New Roman" w:cs="Times New Roman"/>
                <w:b/>
                <w:smallCaps/>
              </w:rPr>
            </w:pPr>
            <w:proofErr w:type="spellStart"/>
            <w:proofErr w:type="gramStart"/>
            <w:r w:rsidRPr="002E71D2">
              <w:rPr>
                <w:rFonts w:ascii="Times New Roman" w:hAnsi="Times New Roman" w:cs="Times New Roman"/>
                <w:b/>
                <w:smallCaps/>
              </w:rPr>
              <w:t>arf</w:t>
            </w:r>
            <w:proofErr w:type="spellEnd"/>
            <w:proofErr w:type="gramEnd"/>
            <w:r w:rsidRPr="002E71D2">
              <w:rPr>
                <w:rFonts w:ascii="Times New Roman" w:hAnsi="Times New Roman" w:cs="Times New Roman"/>
                <w:b/>
                <w:smallCaps/>
              </w:rPr>
              <w:t xml:space="preserve"> 64.10 - centro</w:t>
            </w:r>
          </w:p>
        </w:tc>
        <w:tc>
          <w:tcPr>
            <w:tcW w:w="8003" w:type="dxa"/>
          </w:tcPr>
          <w:p w:rsidR="003973AA" w:rsidRPr="002E71D2" w:rsidRDefault="003973AA" w:rsidP="00065296">
            <w:pPr>
              <w:keepLines/>
              <w:widowControl w:val="0"/>
              <w:numPr>
                <w:ilvl w:val="1"/>
                <w:numId w:val="1"/>
              </w:numPr>
              <w:tabs>
                <w:tab w:val="left" w:pos="1399"/>
              </w:tabs>
              <w:autoSpaceDE w:val="0"/>
              <w:spacing w:after="0" w:line="360" w:lineRule="auto"/>
              <w:ind w:right="-1"/>
              <w:jc w:val="both"/>
              <w:outlineLvl w:val="1"/>
              <w:rPr>
                <w:rFonts w:ascii="Times New Roman" w:eastAsia="Times New Roman" w:hAnsi="Times New Roman" w:cs="Times New Roman"/>
                <w:b/>
                <w:smallCaps/>
                <w:lang w:eastAsia="ar-SA"/>
              </w:rPr>
            </w:pPr>
          </w:p>
        </w:tc>
        <w:tc>
          <w:tcPr>
            <w:tcW w:w="7976" w:type="dxa"/>
          </w:tcPr>
          <w:p w:rsidR="003973AA" w:rsidRPr="002E71D2" w:rsidRDefault="003973AA" w:rsidP="00065296">
            <w:pPr>
              <w:keepLines/>
              <w:widowControl w:val="0"/>
              <w:numPr>
                <w:ilvl w:val="1"/>
                <w:numId w:val="1"/>
              </w:numPr>
              <w:tabs>
                <w:tab w:val="left" w:pos="1399"/>
              </w:tabs>
              <w:autoSpaceDE w:val="0"/>
              <w:spacing w:after="0" w:line="360" w:lineRule="auto"/>
              <w:ind w:right="-1"/>
              <w:jc w:val="both"/>
              <w:outlineLvl w:val="1"/>
              <w:rPr>
                <w:rFonts w:ascii="Times New Roman" w:eastAsia="Times New Roman" w:hAnsi="Times New Roman" w:cs="Times New Roman"/>
                <w:b/>
                <w:smallCaps/>
                <w:lang w:eastAsia="ar-SA"/>
              </w:rPr>
            </w:pPr>
          </w:p>
        </w:tc>
        <w:tc>
          <w:tcPr>
            <w:tcW w:w="7976" w:type="dxa"/>
          </w:tcPr>
          <w:p w:rsidR="003973AA" w:rsidRPr="002E71D2" w:rsidRDefault="003973AA" w:rsidP="00065296">
            <w:pPr>
              <w:keepLines/>
              <w:widowControl w:val="0"/>
              <w:numPr>
                <w:ilvl w:val="1"/>
                <w:numId w:val="1"/>
              </w:numPr>
              <w:tabs>
                <w:tab w:val="left" w:pos="1399"/>
              </w:tabs>
              <w:autoSpaceDE w:val="0"/>
              <w:spacing w:after="0" w:line="360" w:lineRule="auto"/>
              <w:ind w:right="-1"/>
              <w:jc w:val="both"/>
              <w:outlineLvl w:val="1"/>
              <w:rPr>
                <w:rFonts w:ascii="Times New Roman" w:eastAsia="Times New Roman" w:hAnsi="Times New Roman" w:cs="Times New Roman"/>
                <w:b/>
                <w:smallCaps/>
                <w:lang w:eastAsia="ar-SA"/>
              </w:rPr>
            </w:pPr>
          </w:p>
        </w:tc>
      </w:tr>
      <w:tr w:rsidR="003973AA" w:rsidRPr="002E71D2" w:rsidTr="003973AA">
        <w:trPr>
          <w:trHeight w:val="505"/>
        </w:trPr>
        <w:tc>
          <w:tcPr>
            <w:tcW w:w="1502" w:type="dxa"/>
            <w:hideMark/>
          </w:tcPr>
          <w:p w:rsidR="003973AA" w:rsidRPr="002E71D2" w:rsidRDefault="003973AA" w:rsidP="00065296">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Assunto:</w:t>
            </w:r>
          </w:p>
        </w:tc>
        <w:tc>
          <w:tcPr>
            <w:tcW w:w="182" w:type="dxa"/>
            <w:hideMark/>
          </w:tcPr>
          <w:p w:rsidR="003973AA" w:rsidRPr="002E71D2" w:rsidRDefault="003973AA" w:rsidP="00065296">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2E71D2">
              <w:rPr>
                <w:rFonts w:ascii="Times New Roman" w:eastAsia="Times New Roman" w:hAnsi="Times New Roman" w:cs="Times New Roman"/>
                <w:b/>
                <w:smallCaps/>
                <w:lang w:eastAsia="ar-SA"/>
              </w:rPr>
              <w:t>:</w:t>
            </w:r>
          </w:p>
        </w:tc>
        <w:tc>
          <w:tcPr>
            <w:tcW w:w="6041" w:type="dxa"/>
          </w:tcPr>
          <w:p w:rsidR="00C06529" w:rsidRPr="002E71D2" w:rsidRDefault="00C06529" w:rsidP="00C06529">
            <w:pPr>
              <w:rPr>
                <w:rFonts w:ascii="Times New Roman" w:hAnsi="Times New Roman" w:cs="Times New Roman"/>
                <w:b/>
                <w:smallCaps/>
              </w:rPr>
            </w:pPr>
            <w:proofErr w:type="gramStart"/>
            <w:r w:rsidRPr="002E71D2">
              <w:rPr>
                <w:rFonts w:ascii="Times New Roman" w:hAnsi="Times New Roman" w:cs="Times New Roman"/>
                <w:b/>
                <w:smallCaps/>
              </w:rPr>
              <w:t>responsabilidade</w:t>
            </w:r>
            <w:proofErr w:type="gramEnd"/>
            <w:r w:rsidRPr="002E71D2">
              <w:rPr>
                <w:rFonts w:ascii="Times New Roman" w:hAnsi="Times New Roman" w:cs="Times New Roman"/>
                <w:b/>
                <w:smallCaps/>
              </w:rPr>
              <w:t xml:space="preserve"> solidária do promotor de eventos pelo pagamento do imposto  dos expositores</w:t>
            </w:r>
          </w:p>
          <w:p w:rsidR="00D21E9D" w:rsidRPr="002E71D2" w:rsidRDefault="00D21E9D" w:rsidP="00C06529">
            <w:pPr>
              <w:rPr>
                <w:rFonts w:ascii="Times New Roman" w:hAnsi="Times New Roman" w:cs="Times New Roman"/>
                <w:b/>
                <w:smallCaps/>
              </w:rPr>
            </w:pPr>
          </w:p>
          <w:p w:rsidR="009177BA" w:rsidRPr="002E71D2" w:rsidRDefault="009177BA" w:rsidP="00C06529">
            <w:pPr>
              <w:rPr>
                <w:rFonts w:ascii="Times New Roman" w:hAnsi="Times New Roman" w:cs="Times New Roman"/>
                <w:b/>
                <w:smallCaps/>
              </w:rPr>
            </w:pPr>
          </w:p>
        </w:tc>
        <w:tc>
          <w:tcPr>
            <w:tcW w:w="8003" w:type="dxa"/>
          </w:tcPr>
          <w:p w:rsidR="003973AA" w:rsidRPr="002E71D2" w:rsidRDefault="003973AA" w:rsidP="00065296">
            <w:pPr>
              <w:keepLines/>
              <w:widowControl w:val="0"/>
              <w:autoSpaceDE w:val="0"/>
              <w:spacing w:after="0" w:line="360" w:lineRule="auto"/>
              <w:ind w:right="-1"/>
              <w:jc w:val="both"/>
              <w:outlineLvl w:val="1"/>
              <w:rPr>
                <w:rFonts w:ascii="Times New Roman" w:eastAsia="Times New Roman" w:hAnsi="Times New Roman" w:cs="Times New Roman"/>
                <w:b/>
                <w:smallCaps/>
                <w:lang w:eastAsia="ar-SA"/>
              </w:rPr>
            </w:pPr>
          </w:p>
        </w:tc>
        <w:tc>
          <w:tcPr>
            <w:tcW w:w="7976" w:type="dxa"/>
          </w:tcPr>
          <w:p w:rsidR="003973AA" w:rsidRPr="002E71D2" w:rsidRDefault="003973AA" w:rsidP="00065296">
            <w:pPr>
              <w:keepLines/>
              <w:widowControl w:val="0"/>
              <w:autoSpaceDE w:val="0"/>
              <w:spacing w:after="0" w:line="360" w:lineRule="auto"/>
              <w:ind w:right="-1"/>
              <w:jc w:val="both"/>
              <w:outlineLvl w:val="1"/>
              <w:rPr>
                <w:rFonts w:ascii="Times New Roman" w:eastAsia="Times New Roman" w:hAnsi="Times New Roman" w:cs="Times New Roman"/>
                <w:b/>
                <w:smallCaps/>
                <w:lang w:eastAsia="ar-SA"/>
              </w:rPr>
            </w:pPr>
          </w:p>
        </w:tc>
        <w:tc>
          <w:tcPr>
            <w:tcW w:w="7976" w:type="dxa"/>
          </w:tcPr>
          <w:p w:rsidR="003973AA" w:rsidRPr="002E71D2" w:rsidRDefault="003973AA" w:rsidP="00065296">
            <w:pPr>
              <w:keepLines/>
              <w:widowControl w:val="0"/>
              <w:autoSpaceDE w:val="0"/>
              <w:spacing w:after="0" w:line="360" w:lineRule="auto"/>
              <w:ind w:right="-1"/>
              <w:jc w:val="both"/>
              <w:outlineLvl w:val="1"/>
              <w:rPr>
                <w:rFonts w:ascii="Times New Roman" w:eastAsia="Times New Roman" w:hAnsi="Times New Roman" w:cs="Times New Roman"/>
                <w:b/>
                <w:smallCaps/>
                <w:lang w:eastAsia="ar-SA"/>
              </w:rPr>
            </w:pPr>
          </w:p>
        </w:tc>
      </w:tr>
    </w:tbl>
    <w:p w:rsidR="00D21E9D" w:rsidRPr="002E71D2" w:rsidRDefault="00D21E9D" w:rsidP="00065296">
      <w:pPr>
        <w:widowControl w:val="0"/>
        <w:numPr>
          <w:ilvl w:val="0"/>
          <w:numId w:val="2"/>
        </w:numPr>
        <w:autoSpaceDE w:val="0"/>
        <w:spacing w:after="0" w:line="360" w:lineRule="auto"/>
        <w:ind w:left="851" w:right="-1" w:hanging="284"/>
        <w:contextualSpacing/>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t xml:space="preserve">Decido de acordo com a resposta de </w:t>
      </w:r>
      <w:proofErr w:type="gramStart"/>
      <w:r w:rsidRPr="002E71D2">
        <w:rPr>
          <w:rFonts w:ascii="Times New Roman" w:eastAsia="Times New Roman" w:hAnsi="Times New Roman" w:cs="Times New Roman"/>
          <w:lang w:eastAsia="ar-SA"/>
        </w:rPr>
        <w:t>fls.        .</w:t>
      </w:r>
      <w:proofErr w:type="gramEnd"/>
    </w:p>
    <w:p w:rsidR="00D21E9D" w:rsidRPr="002E71D2" w:rsidRDefault="00D21E9D" w:rsidP="00065296">
      <w:pPr>
        <w:widowControl w:val="0"/>
        <w:autoSpaceDE w:val="0"/>
        <w:spacing w:after="0" w:line="360" w:lineRule="auto"/>
        <w:ind w:right="-1" w:firstLine="567"/>
        <w:jc w:val="both"/>
        <w:rPr>
          <w:rFonts w:ascii="Times New Roman" w:eastAsia="Times New Roman" w:hAnsi="Times New Roman" w:cs="Times New Roman"/>
          <w:lang w:eastAsia="ar-SA"/>
        </w:rPr>
      </w:pPr>
    </w:p>
    <w:p w:rsidR="00D21E9D" w:rsidRPr="002E71D2" w:rsidRDefault="00D21E9D" w:rsidP="00065296">
      <w:pPr>
        <w:widowControl w:val="0"/>
        <w:autoSpaceDE w:val="0"/>
        <w:spacing w:after="0" w:line="360" w:lineRule="auto"/>
        <w:ind w:right="-1" w:firstLine="567"/>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t>2. Em seguida, ao cartório da C.C.J.T. para as providências complementares.</w:t>
      </w:r>
    </w:p>
    <w:p w:rsidR="00D21E9D" w:rsidRPr="002E71D2" w:rsidRDefault="00D21E9D" w:rsidP="00065296">
      <w:pPr>
        <w:widowControl w:val="0"/>
        <w:autoSpaceDE w:val="0"/>
        <w:spacing w:after="0" w:line="360" w:lineRule="auto"/>
        <w:ind w:right="-1" w:firstLine="567"/>
        <w:jc w:val="both"/>
        <w:rPr>
          <w:rFonts w:ascii="Times New Roman" w:eastAsia="Times New Roman" w:hAnsi="Times New Roman" w:cs="Times New Roman"/>
          <w:lang w:eastAsia="ar-SA"/>
        </w:rPr>
      </w:pPr>
    </w:p>
    <w:p w:rsidR="00D21E9D" w:rsidRPr="002E71D2" w:rsidRDefault="00D21E9D" w:rsidP="00065296">
      <w:pPr>
        <w:widowControl w:val="0"/>
        <w:autoSpaceDE w:val="0"/>
        <w:spacing w:after="0" w:line="360" w:lineRule="auto"/>
        <w:ind w:left="567" w:right="-1"/>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t xml:space="preserve">3. Posteriormente, à </w:t>
      </w:r>
      <w:r w:rsidR="00C06529" w:rsidRPr="002E71D2">
        <w:rPr>
          <w:rFonts w:ascii="Times New Roman" w:eastAsia="Times New Roman" w:hAnsi="Times New Roman" w:cs="Times New Roman"/>
          <w:lang w:eastAsia="ar-SA"/>
        </w:rPr>
        <w:t>AFR 64.10 - Centro</w:t>
      </w:r>
      <w:r w:rsidR="00CD1A29" w:rsidRPr="002E71D2">
        <w:rPr>
          <w:rFonts w:ascii="Times New Roman" w:eastAsia="Times New Roman" w:hAnsi="Times New Roman" w:cs="Times New Roman"/>
          <w:lang w:eastAsia="ar-SA"/>
        </w:rPr>
        <w:t xml:space="preserve"> </w:t>
      </w:r>
      <w:r w:rsidRPr="002E71D2">
        <w:rPr>
          <w:rFonts w:ascii="Times New Roman" w:eastAsia="Times New Roman" w:hAnsi="Times New Roman" w:cs="Times New Roman"/>
          <w:lang w:eastAsia="ar-SA"/>
        </w:rPr>
        <w:t>para cientificar o interessado</w:t>
      </w:r>
      <w:r w:rsidR="00D94DA7" w:rsidRPr="002E71D2">
        <w:rPr>
          <w:rFonts w:ascii="Times New Roman" w:eastAsia="Times New Roman" w:hAnsi="Times New Roman" w:cs="Times New Roman"/>
          <w:lang w:eastAsia="ar-SA"/>
        </w:rPr>
        <w:t xml:space="preserve"> e aguardar o prazo recursal de 30 dias.</w:t>
      </w:r>
    </w:p>
    <w:p w:rsidR="00D21E9D" w:rsidRPr="002E71D2" w:rsidRDefault="00D21E9D" w:rsidP="00065296">
      <w:pPr>
        <w:widowControl w:val="0"/>
        <w:autoSpaceDE w:val="0"/>
        <w:spacing w:after="0" w:line="360" w:lineRule="auto"/>
        <w:ind w:right="-1" w:firstLine="567"/>
        <w:jc w:val="both"/>
        <w:rPr>
          <w:rFonts w:ascii="Times New Roman" w:eastAsia="Times New Roman" w:hAnsi="Times New Roman" w:cs="Times New Roman"/>
          <w:lang w:eastAsia="ar-SA"/>
        </w:rPr>
      </w:pPr>
    </w:p>
    <w:p w:rsidR="00D21E9D" w:rsidRPr="002E71D2" w:rsidRDefault="00D21E9D" w:rsidP="00065296">
      <w:pPr>
        <w:widowControl w:val="0"/>
        <w:autoSpaceDE w:val="0"/>
        <w:spacing w:after="0" w:line="360" w:lineRule="auto"/>
        <w:ind w:left="567" w:right="-1"/>
        <w:jc w:val="both"/>
        <w:rPr>
          <w:rFonts w:ascii="Times New Roman" w:eastAsia="Times New Roman" w:hAnsi="Times New Roman" w:cs="Times New Roman"/>
          <w:lang w:eastAsia="ar-SA"/>
        </w:rPr>
      </w:pPr>
      <w:r w:rsidRPr="002E71D2">
        <w:rPr>
          <w:rFonts w:ascii="Times New Roman" w:eastAsia="Times New Roman" w:hAnsi="Times New Roman" w:cs="Times New Roman"/>
          <w:lang w:eastAsia="ar-SA"/>
        </w:rPr>
        <w:t>4. Cumpridas as formalidades, o presente deverá retornar a esta Coordenação.</w:t>
      </w:r>
    </w:p>
    <w:p w:rsidR="00D21E9D" w:rsidRPr="002E71D2" w:rsidRDefault="00D21E9D" w:rsidP="00065296">
      <w:pPr>
        <w:widowControl w:val="0"/>
        <w:autoSpaceDE w:val="0"/>
        <w:spacing w:after="0" w:line="360" w:lineRule="auto"/>
        <w:ind w:left="567" w:right="-1"/>
        <w:jc w:val="both"/>
        <w:rPr>
          <w:rFonts w:ascii="Times New Roman" w:eastAsia="Times New Roman" w:hAnsi="Times New Roman" w:cs="Times New Roman"/>
          <w:lang w:eastAsia="ar-SA"/>
        </w:rPr>
      </w:pPr>
    </w:p>
    <w:p w:rsidR="005D4761" w:rsidRPr="002E71D2" w:rsidRDefault="005D4761" w:rsidP="00065296">
      <w:pPr>
        <w:autoSpaceDE w:val="0"/>
        <w:spacing w:after="0" w:line="360" w:lineRule="auto"/>
        <w:ind w:right="-1" w:firstLine="450"/>
        <w:jc w:val="both"/>
        <w:rPr>
          <w:rFonts w:ascii="Times New Roman" w:eastAsia="Times New Roman" w:hAnsi="Times New Roman" w:cs="Times New Roman"/>
          <w:b/>
          <w:bCs/>
          <w:lang w:eastAsia="ar-SA"/>
        </w:rPr>
      </w:pPr>
    </w:p>
    <w:p w:rsidR="005D4761" w:rsidRPr="002E71D2" w:rsidRDefault="005D4761" w:rsidP="00065296">
      <w:pPr>
        <w:autoSpaceDE w:val="0"/>
        <w:spacing w:after="0" w:line="360" w:lineRule="auto"/>
        <w:ind w:right="-1" w:firstLine="450"/>
        <w:jc w:val="both"/>
        <w:rPr>
          <w:rFonts w:ascii="Times New Roman" w:eastAsia="Times New Roman" w:hAnsi="Times New Roman" w:cs="Times New Roman"/>
          <w:b/>
          <w:bCs/>
          <w:lang w:eastAsia="ar-SA"/>
        </w:rPr>
      </w:pPr>
    </w:p>
    <w:p w:rsidR="0026316D" w:rsidRPr="002E71D2" w:rsidRDefault="0026316D" w:rsidP="00065296">
      <w:pPr>
        <w:autoSpaceDE w:val="0"/>
        <w:spacing w:after="0" w:line="360" w:lineRule="auto"/>
        <w:ind w:right="-1" w:firstLine="450"/>
        <w:jc w:val="both"/>
        <w:rPr>
          <w:rFonts w:ascii="Times New Roman" w:eastAsia="Times New Roman" w:hAnsi="Times New Roman" w:cs="Times New Roman"/>
          <w:b/>
          <w:bCs/>
          <w:lang w:eastAsia="ar-SA"/>
        </w:rPr>
      </w:pPr>
    </w:p>
    <w:p w:rsidR="005D4761" w:rsidRPr="002E71D2" w:rsidRDefault="005D4761" w:rsidP="00065296">
      <w:pPr>
        <w:autoSpaceDE w:val="0"/>
        <w:spacing w:after="0" w:line="360" w:lineRule="auto"/>
        <w:ind w:right="-1" w:firstLine="450"/>
        <w:jc w:val="both"/>
        <w:rPr>
          <w:rFonts w:ascii="Times New Roman" w:eastAsia="Times New Roman" w:hAnsi="Times New Roman" w:cs="Times New Roman"/>
          <w:b/>
          <w:bCs/>
          <w:lang w:eastAsia="ar-SA"/>
        </w:rPr>
      </w:pPr>
    </w:p>
    <w:p w:rsidR="005D4761" w:rsidRPr="002E71D2" w:rsidRDefault="005D4761" w:rsidP="00065296">
      <w:pPr>
        <w:autoSpaceDE w:val="0"/>
        <w:spacing w:after="0" w:line="360" w:lineRule="auto"/>
        <w:ind w:right="-1" w:firstLine="450"/>
        <w:jc w:val="both"/>
        <w:rPr>
          <w:rFonts w:ascii="Times New Roman" w:eastAsia="Times New Roman" w:hAnsi="Times New Roman" w:cs="Times New Roman"/>
          <w:b/>
          <w:bCs/>
          <w:lang w:eastAsia="ar-SA"/>
        </w:rPr>
      </w:pPr>
    </w:p>
    <w:p w:rsidR="005D4761" w:rsidRPr="002E71D2" w:rsidRDefault="005D4761" w:rsidP="00065296">
      <w:pPr>
        <w:autoSpaceDE w:val="0"/>
        <w:spacing w:after="0" w:line="360" w:lineRule="auto"/>
        <w:ind w:right="-1"/>
        <w:jc w:val="center"/>
        <w:rPr>
          <w:rFonts w:ascii="Times New Roman" w:eastAsia="Times New Roman" w:hAnsi="Times New Roman" w:cs="Times New Roman"/>
          <w:b/>
          <w:bCs/>
          <w:lang w:eastAsia="ar-SA"/>
        </w:rPr>
      </w:pPr>
      <w:r w:rsidRPr="002E71D2">
        <w:rPr>
          <w:rFonts w:ascii="Times New Roman" w:eastAsia="Times New Roman" w:hAnsi="Times New Roman" w:cs="Times New Roman"/>
          <w:b/>
          <w:bCs/>
          <w:lang w:eastAsia="ar-SA"/>
        </w:rPr>
        <w:t xml:space="preserve">CCJT, em </w:t>
      </w:r>
      <w:r w:rsidR="00813E3A" w:rsidRPr="002E71D2">
        <w:rPr>
          <w:rFonts w:ascii="Times New Roman" w:eastAsia="Times New Roman" w:hAnsi="Times New Roman" w:cs="Times New Roman"/>
          <w:b/>
          <w:bCs/>
          <w:lang w:eastAsia="ar-SA"/>
        </w:rPr>
        <w:t xml:space="preserve">  </w:t>
      </w:r>
      <w:r w:rsidRPr="002E71D2">
        <w:rPr>
          <w:rFonts w:ascii="Times New Roman" w:eastAsia="Times New Roman" w:hAnsi="Times New Roman" w:cs="Times New Roman"/>
          <w:b/>
          <w:bCs/>
          <w:lang w:eastAsia="ar-SA"/>
        </w:rPr>
        <w:t xml:space="preserve">    </w:t>
      </w:r>
      <w:proofErr w:type="gramStart"/>
      <w:r w:rsidRPr="002E71D2">
        <w:rPr>
          <w:rFonts w:ascii="Times New Roman" w:eastAsia="Times New Roman" w:hAnsi="Times New Roman" w:cs="Times New Roman"/>
          <w:b/>
          <w:bCs/>
          <w:lang w:eastAsia="ar-SA"/>
        </w:rPr>
        <w:t>de</w:t>
      </w:r>
      <w:r w:rsidR="00B60A1C" w:rsidRPr="002E71D2">
        <w:rPr>
          <w:rFonts w:ascii="Times New Roman" w:eastAsia="Times New Roman" w:hAnsi="Times New Roman" w:cs="Times New Roman"/>
          <w:b/>
          <w:bCs/>
          <w:lang w:eastAsia="ar-SA"/>
        </w:rPr>
        <w:t xml:space="preserve"> </w:t>
      </w:r>
      <w:r w:rsidR="00030404" w:rsidRPr="002E71D2">
        <w:rPr>
          <w:rFonts w:ascii="Times New Roman" w:eastAsia="Times New Roman" w:hAnsi="Times New Roman" w:cs="Times New Roman"/>
          <w:b/>
          <w:bCs/>
          <w:lang w:eastAsia="ar-SA"/>
        </w:rPr>
        <w:t xml:space="preserve">                     </w:t>
      </w:r>
      <w:proofErr w:type="spellStart"/>
      <w:r w:rsidRPr="002E71D2">
        <w:rPr>
          <w:rFonts w:ascii="Times New Roman" w:eastAsia="Times New Roman" w:hAnsi="Times New Roman" w:cs="Times New Roman"/>
          <w:b/>
          <w:bCs/>
          <w:lang w:eastAsia="ar-SA"/>
        </w:rPr>
        <w:t>de</w:t>
      </w:r>
      <w:proofErr w:type="spellEnd"/>
      <w:proofErr w:type="gramEnd"/>
      <w:r w:rsidRPr="002E71D2">
        <w:rPr>
          <w:rFonts w:ascii="Times New Roman" w:eastAsia="Times New Roman" w:hAnsi="Times New Roman" w:cs="Times New Roman"/>
          <w:b/>
          <w:bCs/>
          <w:lang w:eastAsia="ar-SA"/>
        </w:rPr>
        <w:t xml:space="preserve"> 201</w:t>
      </w:r>
      <w:r w:rsidR="008E0274" w:rsidRPr="002E71D2">
        <w:rPr>
          <w:rFonts w:ascii="Times New Roman" w:eastAsia="Times New Roman" w:hAnsi="Times New Roman" w:cs="Times New Roman"/>
          <w:b/>
          <w:bCs/>
          <w:lang w:eastAsia="ar-SA"/>
        </w:rPr>
        <w:t>7</w:t>
      </w:r>
    </w:p>
    <w:p w:rsidR="005D4761" w:rsidRPr="002E71D2" w:rsidRDefault="005D4761" w:rsidP="00065296">
      <w:pPr>
        <w:autoSpaceDE w:val="0"/>
        <w:spacing w:after="0" w:line="360" w:lineRule="auto"/>
        <w:ind w:right="-1"/>
        <w:jc w:val="center"/>
        <w:rPr>
          <w:rFonts w:ascii="Times New Roman" w:eastAsia="Times New Roman" w:hAnsi="Times New Roman" w:cs="Times New Roman"/>
          <w:b/>
          <w:bCs/>
          <w:lang w:eastAsia="ar-SA"/>
        </w:rPr>
      </w:pPr>
      <w:proofErr w:type="spellStart"/>
      <w:r w:rsidRPr="002E71D2">
        <w:rPr>
          <w:rFonts w:ascii="Times New Roman" w:eastAsia="Times New Roman" w:hAnsi="Times New Roman" w:cs="Times New Roman"/>
          <w:b/>
          <w:bCs/>
          <w:lang w:eastAsia="ar-SA"/>
        </w:rPr>
        <w:t>Theresa</w:t>
      </w:r>
      <w:proofErr w:type="spellEnd"/>
      <w:r w:rsidRPr="002E71D2">
        <w:rPr>
          <w:rFonts w:ascii="Times New Roman" w:eastAsia="Times New Roman" w:hAnsi="Times New Roman" w:cs="Times New Roman"/>
          <w:b/>
          <w:bCs/>
          <w:lang w:eastAsia="ar-SA"/>
        </w:rPr>
        <w:t xml:space="preserve"> Marina C. M. </w:t>
      </w:r>
      <w:proofErr w:type="gramStart"/>
      <w:r w:rsidRPr="002E71D2">
        <w:rPr>
          <w:rFonts w:ascii="Times New Roman" w:eastAsia="Times New Roman" w:hAnsi="Times New Roman" w:cs="Times New Roman"/>
          <w:b/>
          <w:bCs/>
          <w:lang w:eastAsia="ar-SA"/>
        </w:rPr>
        <w:t>Cunha</w:t>
      </w:r>
      <w:proofErr w:type="gramEnd"/>
    </w:p>
    <w:p w:rsidR="005D4761" w:rsidRPr="002E71D2" w:rsidRDefault="005D4761" w:rsidP="00065296">
      <w:pPr>
        <w:autoSpaceDE w:val="0"/>
        <w:spacing w:after="0" w:line="360" w:lineRule="auto"/>
        <w:ind w:right="-1" w:firstLine="450"/>
        <w:jc w:val="center"/>
        <w:rPr>
          <w:rFonts w:ascii="Times New Roman" w:eastAsia="Times New Roman" w:hAnsi="Times New Roman" w:cs="Times New Roman"/>
          <w:b/>
          <w:bCs/>
          <w:lang w:eastAsia="ar-SA"/>
        </w:rPr>
      </w:pPr>
      <w:r w:rsidRPr="002E71D2">
        <w:rPr>
          <w:rFonts w:ascii="Times New Roman" w:eastAsia="Times New Roman" w:hAnsi="Times New Roman" w:cs="Times New Roman"/>
          <w:b/>
          <w:bCs/>
          <w:lang w:eastAsia="ar-SA"/>
        </w:rPr>
        <w:t>Coordenadora da C.C.J.T.</w:t>
      </w:r>
    </w:p>
    <w:p w:rsidR="005D4761" w:rsidRPr="002E71D2" w:rsidRDefault="005D4761" w:rsidP="00065296">
      <w:pPr>
        <w:autoSpaceDE w:val="0"/>
        <w:spacing w:after="0" w:line="360" w:lineRule="auto"/>
        <w:ind w:right="-1" w:firstLine="450"/>
        <w:jc w:val="center"/>
        <w:rPr>
          <w:rFonts w:ascii="Times New Roman" w:eastAsia="Times New Roman" w:hAnsi="Times New Roman" w:cs="Times New Roman"/>
          <w:b/>
          <w:bCs/>
          <w:lang w:eastAsia="ar-SA"/>
        </w:rPr>
      </w:pPr>
      <w:r w:rsidRPr="002E71D2">
        <w:rPr>
          <w:rFonts w:ascii="Times New Roman" w:eastAsia="Times New Roman" w:hAnsi="Times New Roman" w:cs="Times New Roman"/>
          <w:b/>
          <w:bCs/>
          <w:lang w:eastAsia="ar-SA"/>
        </w:rPr>
        <w:t>MAT. 0.000.507-4</w:t>
      </w:r>
    </w:p>
    <w:sectPr w:rsidR="005D4761" w:rsidRPr="002E71D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06" w:rsidRDefault="004A2C06" w:rsidP="00844903">
      <w:pPr>
        <w:spacing w:after="0" w:line="240" w:lineRule="auto"/>
      </w:pPr>
      <w:r>
        <w:separator/>
      </w:r>
    </w:p>
  </w:endnote>
  <w:endnote w:type="continuationSeparator" w:id="0">
    <w:p w:rsidR="004A2C06" w:rsidRDefault="004A2C06" w:rsidP="0084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06" w:rsidRDefault="004A2C06" w:rsidP="00844903">
      <w:pPr>
        <w:spacing w:after="0" w:line="240" w:lineRule="auto"/>
      </w:pPr>
      <w:r>
        <w:separator/>
      </w:r>
    </w:p>
  </w:footnote>
  <w:footnote w:type="continuationSeparator" w:id="0">
    <w:p w:rsidR="004A2C06" w:rsidRDefault="004A2C06" w:rsidP="00844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06" w:rsidRPr="00844903" w:rsidRDefault="004A2C06" w:rsidP="00844903">
    <w:pPr>
      <w:widowControl w:val="0"/>
      <w:tabs>
        <w:tab w:val="center" w:pos="4419"/>
        <w:tab w:val="right" w:pos="8838"/>
      </w:tab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63C92BFA" wp14:editId="37A90457">
              <wp:simplePos x="0" y="0"/>
              <wp:positionH relativeFrom="column">
                <wp:posOffset>3844290</wp:posOffset>
              </wp:positionH>
              <wp:positionV relativeFrom="paragraph">
                <wp:posOffset>-144780</wp:posOffset>
              </wp:positionV>
              <wp:extent cx="2028825" cy="952500"/>
              <wp:effectExtent l="0" t="0" r="28575" b="1905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52500"/>
                      </a:xfrm>
                      <a:prstGeom prst="rect">
                        <a:avLst/>
                      </a:prstGeom>
                      <a:solidFill>
                        <a:srgbClr val="FFFFFF"/>
                      </a:solidFill>
                      <a:ln w="9525">
                        <a:solidFill>
                          <a:srgbClr val="000000"/>
                        </a:solidFill>
                        <a:miter lim="800000"/>
                        <a:headEnd/>
                        <a:tailEnd/>
                      </a:ln>
                    </wps:spPr>
                    <wps:txbx>
                      <w:txbxContent>
                        <w:p w:rsidR="004A2C06" w:rsidRPr="00844903" w:rsidRDefault="004A2C06"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4A2C06" w:rsidRPr="00844903" w:rsidRDefault="004A2C06" w:rsidP="00844903">
                          <w:pPr>
                            <w:spacing w:after="0"/>
                            <w:rPr>
                              <w:rFonts w:ascii="Times New Roman" w:hAnsi="Times New Roman" w:cs="Times New Roman"/>
                            </w:rPr>
                          </w:pPr>
                          <w:r w:rsidRPr="00844903">
                            <w:rPr>
                              <w:rFonts w:ascii="Times New Roman" w:hAnsi="Times New Roman" w:cs="Times New Roman"/>
                            </w:rPr>
                            <w:t>Processo E-04</w:t>
                          </w:r>
                          <w:r>
                            <w:rPr>
                              <w:rFonts w:ascii="Times New Roman" w:hAnsi="Times New Roman" w:cs="Times New Roman"/>
                            </w:rPr>
                            <w:t xml:space="preserve">/005/ 239 </w:t>
                          </w:r>
                          <w:r w:rsidRPr="00844903">
                            <w:rPr>
                              <w:rFonts w:ascii="Times New Roman" w:hAnsi="Times New Roman" w:cs="Times New Roman"/>
                            </w:rPr>
                            <w:t>//201</w:t>
                          </w:r>
                          <w:r>
                            <w:rPr>
                              <w:rFonts w:ascii="Times New Roman" w:hAnsi="Times New Roman" w:cs="Times New Roman"/>
                            </w:rPr>
                            <w:t>7</w:t>
                          </w:r>
                        </w:p>
                        <w:p w:rsidR="004A2C06" w:rsidRPr="00844903" w:rsidRDefault="004A2C06" w:rsidP="00844903">
                          <w:pPr>
                            <w:spacing w:after="0"/>
                            <w:rPr>
                              <w:rFonts w:ascii="Times New Roman" w:hAnsi="Times New Roman" w:cs="Times New Roman"/>
                            </w:rPr>
                          </w:pPr>
                          <w:r w:rsidRPr="00844903">
                            <w:rPr>
                              <w:rFonts w:ascii="Times New Roman" w:hAnsi="Times New Roman" w:cs="Times New Roman"/>
                            </w:rPr>
                            <w:t xml:space="preserve">Data: </w:t>
                          </w:r>
                          <w:r>
                            <w:rPr>
                              <w:rFonts w:ascii="Times New Roman" w:hAnsi="Times New Roman" w:cs="Times New Roman"/>
                            </w:rPr>
                            <w:t xml:space="preserve">08/02/17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4A2C06" w:rsidRPr="00844903" w:rsidRDefault="004A2C06"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______ ID 1941608-3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02.7pt;margin-top:-11.4pt;width:1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">
              <v:textbox>
                <w:txbxContent>
                  <w:p w:rsidR="004A2C06" w:rsidRPr="00844903" w:rsidRDefault="004A2C06"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4A2C06" w:rsidRPr="00844903" w:rsidRDefault="004A2C06" w:rsidP="00844903">
                    <w:pPr>
                      <w:spacing w:after="0"/>
                      <w:rPr>
                        <w:rFonts w:ascii="Times New Roman" w:hAnsi="Times New Roman" w:cs="Times New Roman"/>
                      </w:rPr>
                    </w:pPr>
                    <w:r w:rsidRPr="00844903">
                      <w:rPr>
                        <w:rFonts w:ascii="Times New Roman" w:hAnsi="Times New Roman" w:cs="Times New Roman"/>
                      </w:rPr>
                      <w:t>Processo E-04</w:t>
                    </w:r>
                    <w:r>
                      <w:rPr>
                        <w:rFonts w:ascii="Times New Roman" w:hAnsi="Times New Roman" w:cs="Times New Roman"/>
                      </w:rPr>
                      <w:t xml:space="preserve">/005/ 239 </w:t>
                    </w:r>
                    <w:r w:rsidRPr="00844903">
                      <w:rPr>
                        <w:rFonts w:ascii="Times New Roman" w:hAnsi="Times New Roman" w:cs="Times New Roman"/>
                      </w:rPr>
                      <w:t>//201</w:t>
                    </w:r>
                    <w:r>
                      <w:rPr>
                        <w:rFonts w:ascii="Times New Roman" w:hAnsi="Times New Roman" w:cs="Times New Roman"/>
                      </w:rPr>
                      <w:t>7</w:t>
                    </w:r>
                  </w:p>
                  <w:p w:rsidR="004A2C06" w:rsidRPr="00844903" w:rsidRDefault="004A2C06" w:rsidP="00844903">
                    <w:pPr>
                      <w:spacing w:after="0"/>
                      <w:rPr>
                        <w:rFonts w:ascii="Times New Roman" w:hAnsi="Times New Roman" w:cs="Times New Roman"/>
                      </w:rPr>
                    </w:pPr>
                    <w:r w:rsidRPr="00844903">
                      <w:rPr>
                        <w:rFonts w:ascii="Times New Roman" w:hAnsi="Times New Roman" w:cs="Times New Roman"/>
                      </w:rPr>
                      <w:t xml:space="preserve">Data: </w:t>
                    </w:r>
                    <w:r>
                      <w:rPr>
                        <w:rFonts w:ascii="Times New Roman" w:hAnsi="Times New Roman" w:cs="Times New Roman"/>
                      </w:rPr>
                      <w:t xml:space="preserve">08/02/17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4A2C06" w:rsidRPr="00844903" w:rsidRDefault="004A2C06"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______ ID 1941608-3</w:t>
                    </w:r>
                  </w:p>
                </w:txbxContent>
              </v:textbox>
            </v:shape>
          </w:pict>
        </mc:Fallback>
      </mc:AlternateContent>
    </w:r>
    <w:r>
      <w:rPr>
        <w:rFonts w:ascii="Times New Roman" w:eastAsia="Times New Roman" w:hAnsi="Times New Roman" w:cs="Times New Roman"/>
        <w:noProof/>
        <w:sz w:val="24"/>
        <w:szCs w:val="24"/>
        <w:lang w:eastAsia="pt-BR"/>
      </w:rPr>
      <w:drawing>
        <wp:inline distT="0" distB="0" distL="0" distR="0" wp14:anchorId="6A18545F" wp14:editId="4269A763">
          <wp:extent cx="914400" cy="895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solidFill>
                    <a:srgbClr val="FFFFFF"/>
                  </a:solidFill>
                  <a:ln>
                    <a:noFill/>
                  </a:ln>
                </pic:spPr>
              </pic:pic>
            </a:graphicData>
          </a:graphic>
        </wp:inline>
      </w:drawing>
    </w:r>
  </w:p>
  <w:p w:rsidR="004A2C06" w:rsidRPr="00844903" w:rsidRDefault="004A2C06"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sz w:val="24"/>
        <w:szCs w:val="20"/>
        <w:lang w:eastAsia="ar-SA"/>
      </w:rPr>
      <w:t>Governo do Estado do Rio de Janeiro</w:t>
    </w:r>
  </w:p>
  <w:p w:rsidR="004A2C06" w:rsidRPr="00844903" w:rsidRDefault="004A2C06"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Secretaria de Estado de Fazenda</w:t>
    </w:r>
    <w:r>
      <w:rPr>
        <w:rFonts w:ascii="Arial" w:eastAsia="Times New Roman" w:hAnsi="Arial" w:cs="Arial"/>
        <w:b/>
        <w:lang w:eastAsia="ar-SA"/>
      </w:rPr>
      <w:t xml:space="preserve"> e Planejamento</w:t>
    </w:r>
  </w:p>
  <w:p w:rsidR="004A2C06" w:rsidRPr="00844903" w:rsidRDefault="004A2C06"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Superintendência de Tributação</w:t>
    </w:r>
  </w:p>
  <w:p w:rsidR="004A2C06" w:rsidRPr="00844903" w:rsidRDefault="004A2C06" w:rsidP="00844903">
    <w:pPr>
      <w:widowControl w:val="0"/>
      <w:tabs>
        <w:tab w:val="center" w:pos="4419"/>
        <w:tab w:val="right" w:pos="8838"/>
      </w:tabs>
      <w:autoSpaceDE w:val="0"/>
      <w:spacing w:after="0" w:line="240" w:lineRule="auto"/>
      <w:jc w:val="center"/>
      <w:rPr>
        <w:rFonts w:ascii="Arial" w:eastAsia="Times New Roman" w:hAnsi="Arial" w:cs="Arial"/>
        <w:b/>
        <w:lang w:eastAsia="ar-SA"/>
      </w:rPr>
    </w:pPr>
    <w:r w:rsidRPr="00844903">
      <w:rPr>
        <w:rFonts w:ascii="Arial" w:eastAsia="Times New Roman" w:hAnsi="Arial" w:cs="Arial"/>
        <w:b/>
        <w:lang w:eastAsia="ar-SA"/>
      </w:rPr>
      <w:t>Coordena</w:t>
    </w:r>
    <w:r>
      <w:rPr>
        <w:rFonts w:ascii="Arial" w:eastAsia="Times New Roman" w:hAnsi="Arial" w:cs="Arial"/>
        <w:b/>
        <w:lang w:eastAsia="ar-SA"/>
      </w:rPr>
      <w:t xml:space="preserve">doria </w:t>
    </w:r>
    <w:r w:rsidRPr="00844903">
      <w:rPr>
        <w:rFonts w:ascii="Arial" w:eastAsia="Times New Roman" w:hAnsi="Arial" w:cs="Arial"/>
        <w:b/>
        <w:lang w:eastAsia="ar-SA"/>
      </w:rPr>
      <w:t>de Consultas Jurídico-Tributárias</w:t>
    </w:r>
  </w:p>
  <w:p w:rsidR="004A2C06" w:rsidRDefault="004A2C0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3B4541"/>
    <w:multiLevelType w:val="hybridMultilevel"/>
    <w:tmpl w:val="480EBD2C"/>
    <w:lvl w:ilvl="0" w:tplc="326230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099C6254"/>
    <w:multiLevelType w:val="hybridMultilevel"/>
    <w:tmpl w:val="F2181360"/>
    <w:lvl w:ilvl="0" w:tplc="F1EED8F0">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E00CC8"/>
    <w:multiLevelType w:val="hybridMultilevel"/>
    <w:tmpl w:val="FC668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F529FB"/>
    <w:multiLevelType w:val="hybridMultilevel"/>
    <w:tmpl w:val="4B86C7F2"/>
    <w:lvl w:ilvl="0" w:tplc="561CC90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5614393"/>
    <w:multiLevelType w:val="hybridMultilevel"/>
    <w:tmpl w:val="319487E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2E181AB7"/>
    <w:multiLevelType w:val="hybridMultilevel"/>
    <w:tmpl w:val="047EB22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305D2061"/>
    <w:multiLevelType w:val="hybridMultilevel"/>
    <w:tmpl w:val="B06CC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A41E96"/>
    <w:multiLevelType w:val="hybridMultilevel"/>
    <w:tmpl w:val="F1EC9570"/>
    <w:lvl w:ilvl="0" w:tplc="518A9A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81F1CCF"/>
    <w:multiLevelType w:val="hybridMultilevel"/>
    <w:tmpl w:val="BA086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DF27905"/>
    <w:multiLevelType w:val="hybridMultilevel"/>
    <w:tmpl w:val="879615A4"/>
    <w:lvl w:ilvl="0" w:tplc="463E25A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5C6420F2"/>
    <w:multiLevelType w:val="hybridMultilevel"/>
    <w:tmpl w:val="0F825180"/>
    <w:lvl w:ilvl="0" w:tplc="64047C1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61F425D3"/>
    <w:multiLevelType w:val="hybridMultilevel"/>
    <w:tmpl w:val="F85EE812"/>
    <w:lvl w:ilvl="0" w:tplc="4A30801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631C77EC"/>
    <w:multiLevelType w:val="hybridMultilevel"/>
    <w:tmpl w:val="B5540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5692B0D"/>
    <w:multiLevelType w:val="hybridMultilevel"/>
    <w:tmpl w:val="FBD232D2"/>
    <w:lvl w:ilvl="0" w:tplc="9A16C1C4">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660105B6"/>
    <w:multiLevelType w:val="hybridMultilevel"/>
    <w:tmpl w:val="AFCCD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95868DB"/>
    <w:multiLevelType w:val="hybridMultilevel"/>
    <w:tmpl w:val="3DECF9B0"/>
    <w:lvl w:ilvl="0" w:tplc="9D9CE18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7A4449F8"/>
    <w:multiLevelType w:val="hybridMultilevel"/>
    <w:tmpl w:val="4C688B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4"/>
  </w:num>
  <w:num w:numId="6">
    <w:abstractNumId w:val="15"/>
  </w:num>
  <w:num w:numId="7">
    <w:abstractNumId w:val="1"/>
  </w:num>
  <w:num w:numId="8">
    <w:abstractNumId w:val="18"/>
  </w:num>
  <w:num w:numId="9">
    <w:abstractNumId w:val="3"/>
  </w:num>
  <w:num w:numId="10">
    <w:abstractNumId w:val="2"/>
  </w:num>
  <w:num w:numId="11">
    <w:abstractNumId w:val="17"/>
  </w:num>
  <w:num w:numId="12">
    <w:abstractNumId w:val="12"/>
  </w:num>
  <w:num w:numId="13">
    <w:abstractNumId w:val="16"/>
  </w:num>
  <w:num w:numId="14">
    <w:abstractNumId w:val="4"/>
  </w:num>
  <w:num w:numId="15">
    <w:abstractNumId w:val="13"/>
  </w:num>
  <w:num w:numId="16">
    <w:abstractNumId w:val="10"/>
  </w:num>
  <w:num w:numId="17">
    <w:abstractNumId w:val="8"/>
  </w:num>
  <w:num w:numId="18">
    <w:abstractNumId w:val="11"/>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3"/>
    <w:rsid w:val="00003C48"/>
    <w:rsid w:val="00004204"/>
    <w:rsid w:val="000074CB"/>
    <w:rsid w:val="00011AE9"/>
    <w:rsid w:val="00011AF2"/>
    <w:rsid w:val="000155AE"/>
    <w:rsid w:val="00030404"/>
    <w:rsid w:val="00034034"/>
    <w:rsid w:val="0003550D"/>
    <w:rsid w:val="00035BB7"/>
    <w:rsid w:val="00037261"/>
    <w:rsid w:val="0004035E"/>
    <w:rsid w:val="0004119C"/>
    <w:rsid w:val="00043F11"/>
    <w:rsid w:val="0005636F"/>
    <w:rsid w:val="0006098C"/>
    <w:rsid w:val="00060E83"/>
    <w:rsid w:val="000610B8"/>
    <w:rsid w:val="0006275F"/>
    <w:rsid w:val="00065296"/>
    <w:rsid w:val="0007415F"/>
    <w:rsid w:val="000758FC"/>
    <w:rsid w:val="000769F9"/>
    <w:rsid w:val="0007792E"/>
    <w:rsid w:val="00082131"/>
    <w:rsid w:val="000901F0"/>
    <w:rsid w:val="000906D6"/>
    <w:rsid w:val="00090D09"/>
    <w:rsid w:val="000910DD"/>
    <w:rsid w:val="0009330B"/>
    <w:rsid w:val="00093558"/>
    <w:rsid w:val="00096CB4"/>
    <w:rsid w:val="000A08AF"/>
    <w:rsid w:val="000A2356"/>
    <w:rsid w:val="000A3FB6"/>
    <w:rsid w:val="000B1962"/>
    <w:rsid w:val="000B3EDF"/>
    <w:rsid w:val="000B5200"/>
    <w:rsid w:val="000B65CA"/>
    <w:rsid w:val="000C0F8E"/>
    <w:rsid w:val="000D2DCF"/>
    <w:rsid w:val="000D3CA4"/>
    <w:rsid w:val="000D6D62"/>
    <w:rsid w:val="000E4031"/>
    <w:rsid w:val="000E5B05"/>
    <w:rsid w:val="000F0B04"/>
    <w:rsid w:val="000F4F6E"/>
    <w:rsid w:val="000F6DCF"/>
    <w:rsid w:val="001000A6"/>
    <w:rsid w:val="0010027F"/>
    <w:rsid w:val="00100D5C"/>
    <w:rsid w:val="00100FFC"/>
    <w:rsid w:val="00101398"/>
    <w:rsid w:val="001018C8"/>
    <w:rsid w:val="00101B50"/>
    <w:rsid w:val="00101BC0"/>
    <w:rsid w:val="00102BEF"/>
    <w:rsid w:val="0010315D"/>
    <w:rsid w:val="00104D11"/>
    <w:rsid w:val="001064CE"/>
    <w:rsid w:val="00106B46"/>
    <w:rsid w:val="00115340"/>
    <w:rsid w:val="00120EAA"/>
    <w:rsid w:val="00124726"/>
    <w:rsid w:val="001247EC"/>
    <w:rsid w:val="001302CD"/>
    <w:rsid w:val="00140A53"/>
    <w:rsid w:val="00142898"/>
    <w:rsid w:val="00145F77"/>
    <w:rsid w:val="00150B7A"/>
    <w:rsid w:val="00156EF3"/>
    <w:rsid w:val="00166DE9"/>
    <w:rsid w:val="00171423"/>
    <w:rsid w:val="00171A2E"/>
    <w:rsid w:val="001776D2"/>
    <w:rsid w:val="00183D0D"/>
    <w:rsid w:val="001841BF"/>
    <w:rsid w:val="001843B8"/>
    <w:rsid w:val="001973BF"/>
    <w:rsid w:val="001A23B8"/>
    <w:rsid w:val="001A25ED"/>
    <w:rsid w:val="001A4C32"/>
    <w:rsid w:val="001A5B11"/>
    <w:rsid w:val="001A68C5"/>
    <w:rsid w:val="001A75C8"/>
    <w:rsid w:val="001B2CD2"/>
    <w:rsid w:val="001B50E3"/>
    <w:rsid w:val="001B57C6"/>
    <w:rsid w:val="001C0015"/>
    <w:rsid w:val="001C01B8"/>
    <w:rsid w:val="001C6164"/>
    <w:rsid w:val="001E4366"/>
    <w:rsid w:val="001E6D22"/>
    <w:rsid w:val="001E7C09"/>
    <w:rsid w:val="001F3B8B"/>
    <w:rsid w:val="00202ED0"/>
    <w:rsid w:val="00204D7C"/>
    <w:rsid w:val="00212201"/>
    <w:rsid w:val="00213404"/>
    <w:rsid w:val="00215701"/>
    <w:rsid w:val="00216323"/>
    <w:rsid w:val="002219A3"/>
    <w:rsid w:val="00223A7D"/>
    <w:rsid w:val="0022591F"/>
    <w:rsid w:val="0022777A"/>
    <w:rsid w:val="00240A7B"/>
    <w:rsid w:val="002436D3"/>
    <w:rsid w:val="00247518"/>
    <w:rsid w:val="00251E93"/>
    <w:rsid w:val="00254AF1"/>
    <w:rsid w:val="002577BF"/>
    <w:rsid w:val="00262416"/>
    <w:rsid w:val="0026316D"/>
    <w:rsid w:val="002661DC"/>
    <w:rsid w:val="002665CC"/>
    <w:rsid w:val="002753D0"/>
    <w:rsid w:val="0027613B"/>
    <w:rsid w:val="00276AF8"/>
    <w:rsid w:val="002828D4"/>
    <w:rsid w:val="00282A2D"/>
    <w:rsid w:val="002830A4"/>
    <w:rsid w:val="0028465C"/>
    <w:rsid w:val="00293C0D"/>
    <w:rsid w:val="00293E1E"/>
    <w:rsid w:val="00295091"/>
    <w:rsid w:val="00295110"/>
    <w:rsid w:val="002A0485"/>
    <w:rsid w:val="002A197E"/>
    <w:rsid w:val="002A7F8B"/>
    <w:rsid w:val="002B4366"/>
    <w:rsid w:val="002C1FA4"/>
    <w:rsid w:val="002C647E"/>
    <w:rsid w:val="002D4397"/>
    <w:rsid w:val="002D53E8"/>
    <w:rsid w:val="002D6DED"/>
    <w:rsid w:val="002D7E70"/>
    <w:rsid w:val="002E027C"/>
    <w:rsid w:val="002E1190"/>
    <w:rsid w:val="002E1E60"/>
    <w:rsid w:val="002E41E2"/>
    <w:rsid w:val="002E5D1C"/>
    <w:rsid w:val="002E71D2"/>
    <w:rsid w:val="00314181"/>
    <w:rsid w:val="003161F2"/>
    <w:rsid w:val="003206CA"/>
    <w:rsid w:val="00322634"/>
    <w:rsid w:val="003229FF"/>
    <w:rsid w:val="0033060B"/>
    <w:rsid w:val="00331266"/>
    <w:rsid w:val="003405E0"/>
    <w:rsid w:val="00343E41"/>
    <w:rsid w:val="003442E5"/>
    <w:rsid w:val="00345844"/>
    <w:rsid w:val="00353188"/>
    <w:rsid w:val="00354931"/>
    <w:rsid w:val="00355E3E"/>
    <w:rsid w:val="00364CFC"/>
    <w:rsid w:val="00371CA6"/>
    <w:rsid w:val="003733A5"/>
    <w:rsid w:val="003745BF"/>
    <w:rsid w:val="00376138"/>
    <w:rsid w:val="003765DA"/>
    <w:rsid w:val="00381BB9"/>
    <w:rsid w:val="00383BD9"/>
    <w:rsid w:val="00384055"/>
    <w:rsid w:val="00384B86"/>
    <w:rsid w:val="00387688"/>
    <w:rsid w:val="003911F7"/>
    <w:rsid w:val="00391604"/>
    <w:rsid w:val="003933A3"/>
    <w:rsid w:val="00395886"/>
    <w:rsid w:val="003973AA"/>
    <w:rsid w:val="003976CA"/>
    <w:rsid w:val="003A1182"/>
    <w:rsid w:val="003B1993"/>
    <w:rsid w:val="003C078A"/>
    <w:rsid w:val="003C14CE"/>
    <w:rsid w:val="003C19DB"/>
    <w:rsid w:val="003C5ADD"/>
    <w:rsid w:val="003C5B47"/>
    <w:rsid w:val="003C6550"/>
    <w:rsid w:val="003D09D5"/>
    <w:rsid w:val="003D0E58"/>
    <w:rsid w:val="003D1199"/>
    <w:rsid w:val="003D1379"/>
    <w:rsid w:val="003D45F0"/>
    <w:rsid w:val="003D4D2D"/>
    <w:rsid w:val="003D5B38"/>
    <w:rsid w:val="003F1113"/>
    <w:rsid w:val="003F793A"/>
    <w:rsid w:val="004005C1"/>
    <w:rsid w:val="00404318"/>
    <w:rsid w:val="004068EE"/>
    <w:rsid w:val="0041056C"/>
    <w:rsid w:val="0041131D"/>
    <w:rsid w:val="00414E5D"/>
    <w:rsid w:val="0041561E"/>
    <w:rsid w:val="00417D11"/>
    <w:rsid w:val="0042079D"/>
    <w:rsid w:val="00425EFA"/>
    <w:rsid w:val="0042689C"/>
    <w:rsid w:val="0043044B"/>
    <w:rsid w:val="00431EAB"/>
    <w:rsid w:val="00435503"/>
    <w:rsid w:val="00442D06"/>
    <w:rsid w:val="0044621E"/>
    <w:rsid w:val="0045118E"/>
    <w:rsid w:val="00452C71"/>
    <w:rsid w:val="00456E01"/>
    <w:rsid w:val="00457E93"/>
    <w:rsid w:val="0046330A"/>
    <w:rsid w:val="0046736D"/>
    <w:rsid w:val="00483072"/>
    <w:rsid w:val="00490A61"/>
    <w:rsid w:val="00493941"/>
    <w:rsid w:val="00495EE8"/>
    <w:rsid w:val="0049609C"/>
    <w:rsid w:val="004977F0"/>
    <w:rsid w:val="004A26A7"/>
    <w:rsid w:val="004A2C06"/>
    <w:rsid w:val="004A37B0"/>
    <w:rsid w:val="004A7251"/>
    <w:rsid w:val="004B0CF0"/>
    <w:rsid w:val="004B266F"/>
    <w:rsid w:val="004B7BF6"/>
    <w:rsid w:val="004C0F0B"/>
    <w:rsid w:val="004C464A"/>
    <w:rsid w:val="004C56E6"/>
    <w:rsid w:val="004D417F"/>
    <w:rsid w:val="004E3A95"/>
    <w:rsid w:val="004F2997"/>
    <w:rsid w:val="004F406A"/>
    <w:rsid w:val="004F7343"/>
    <w:rsid w:val="005008EF"/>
    <w:rsid w:val="00502418"/>
    <w:rsid w:val="005034A4"/>
    <w:rsid w:val="0051048E"/>
    <w:rsid w:val="005110FF"/>
    <w:rsid w:val="00513B9A"/>
    <w:rsid w:val="00516D75"/>
    <w:rsid w:val="005172AA"/>
    <w:rsid w:val="0052086E"/>
    <w:rsid w:val="00526848"/>
    <w:rsid w:val="00527733"/>
    <w:rsid w:val="00530BDC"/>
    <w:rsid w:val="00532DCE"/>
    <w:rsid w:val="00534904"/>
    <w:rsid w:val="00534FEC"/>
    <w:rsid w:val="005357B0"/>
    <w:rsid w:val="0054185F"/>
    <w:rsid w:val="00544E74"/>
    <w:rsid w:val="00551B0D"/>
    <w:rsid w:val="0055317D"/>
    <w:rsid w:val="005548F5"/>
    <w:rsid w:val="0055671C"/>
    <w:rsid w:val="005642E6"/>
    <w:rsid w:val="00571090"/>
    <w:rsid w:val="005752AD"/>
    <w:rsid w:val="00581420"/>
    <w:rsid w:val="0058192E"/>
    <w:rsid w:val="00582EC0"/>
    <w:rsid w:val="00584A7C"/>
    <w:rsid w:val="00585A64"/>
    <w:rsid w:val="00586544"/>
    <w:rsid w:val="005924AE"/>
    <w:rsid w:val="00592982"/>
    <w:rsid w:val="0059502F"/>
    <w:rsid w:val="00597A09"/>
    <w:rsid w:val="005A0E80"/>
    <w:rsid w:val="005A52B9"/>
    <w:rsid w:val="005A5B6C"/>
    <w:rsid w:val="005B0E49"/>
    <w:rsid w:val="005B0F1D"/>
    <w:rsid w:val="005B549B"/>
    <w:rsid w:val="005B6880"/>
    <w:rsid w:val="005C4F5A"/>
    <w:rsid w:val="005C6BBF"/>
    <w:rsid w:val="005D0ADF"/>
    <w:rsid w:val="005D4761"/>
    <w:rsid w:val="005D788A"/>
    <w:rsid w:val="005E333D"/>
    <w:rsid w:val="005E4CCB"/>
    <w:rsid w:val="005E5AFE"/>
    <w:rsid w:val="005F11D2"/>
    <w:rsid w:val="005F182B"/>
    <w:rsid w:val="005F1AA6"/>
    <w:rsid w:val="005F5FF9"/>
    <w:rsid w:val="005F6671"/>
    <w:rsid w:val="005F7950"/>
    <w:rsid w:val="00607CA2"/>
    <w:rsid w:val="006112E7"/>
    <w:rsid w:val="00612518"/>
    <w:rsid w:val="00615C4A"/>
    <w:rsid w:val="00623078"/>
    <w:rsid w:val="006238C8"/>
    <w:rsid w:val="00623D44"/>
    <w:rsid w:val="006329BB"/>
    <w:rsid w:val="00632C55"/>
    <w:rsid w:val="00634593"/>
    <w:rsid w:val="006356A3"/>
    <w:rsid w:val="00637E5F"/>
    <w:rsid w:val="006403C7"/>
    <w:rsid w:val="00640ACD"/>
    <w:rsid w:val="006429DE"/>
    <w:rsid w:val="00642E68"/>
    <w:rsid w:val="006448EC"/>
    <w:rsid w:val="00646459"/>
    <w:rsid w:val="00646A0B"/>
    <w:rsid w:val="006552A3"/>
    <w:rsid w:val="00655831"/>
    <w:rsid w:val="00675726"/>
    <w:rsid w:val="006816DA"/>
    <w:rsid w:val="00681A0A"/>
    <w:rsid w:val="00691B8A"/>
    <w:rsid w:val="00693F46"/>
    <w:rsid w:val="006A089E"/>
    <w:rsid w:val="006A349E"/>
    <w:rsid w:val="006A5BBF"/>
    <w:rsid w:val="006B0362"/>
    <w:rsid w:val="006B0E3D"/>
    <w:rsid w:val="006B1937"/>
    <w:rsid w:val="006B2C82"/>
    <w:rsid w:val="006B2E06"/>
    <w:rsid w:val="006B37DE"/>
    <w:rsid w:val="006B71FD"/>
    <w:rsid w:val="006C065F"/>
    <w:rsid w:val="006C20EB"/>
    <w:rsid w:val="006C29B7"/>
    <w:rsid w:val="006C2A56"/>
    <w:rsid w:val="006C6B84"/>
    <w:rsid w:val="006D5AFB"/>
    <w:rsid w:val="006D7AB7"/>
    <w:rsid w:val="006E2178"/>
    <w:rsid w:val="006E5061"/>
    <w:rsid w:val="006E5860"/>
    <w:rsid w:val="006E61AC"/>
    <w:rsid w:val="006E785D"/>
    <w:rsid w:val="006F1260"/>
    <w:rsid w:val="006F16CE"/>
    <w:rsid w:val="006F6E4E"/>
    <w:rsid w:val="006F7381"/>
    <w:rsid w:val="00700ADE"/>
    <w:rsid w:val="00700CA9"/>
    <w:rsid w:val="007034FF"/>
    <w:rsid w:val="0071136F"/>
    <w:rsid w:val="00714D8E"/>
    <w:rsid w:val="00715F7E"/>
    <w:rsid w:val="00716CFC"/>
    <w:rsid w:val="0072206E"/>
    <w:rsid w:val="0072313C"/>
    <w:rsid w:val="00723AA8"/>
    <w:rsid w:val="00727B8A"/>
    <w:rsid w:val="00731287"/>
    <w:rsid w:val="00736B25"/>
    <w:rsid w:val="007422D0"/>
    <w:rsid w:val="00745738"/>
    <w:rsid w:val="00746F3D"/>
    <w:rsid w:val="007471CA"/>
    <w:rsid w:val="00747672"/>
    <w:rsid w:val="0075045B"/>
    <w:rsid w:val="00753009"/>
    <w:rsid w:val="00753960"/>
    <w:rsid w:val="0075563C"/>
    <w:rsid w:val="00756B29"/>
    <w:rsid w:val="00757366"/>
    <w:rsid w:val="007575A2"/>
    <w:rsid w:val="007620AB"/>
    <w:rsid w:val="00762AC6"/>
    <w:rsid w:val="00766C17"/>
    <w:rsid w:val="007723CF"/>
    <w:rsid w:val="00772AE2"/>
    <w:rsid w:val="0077441C"/>
    <w:rsid w:val="007801DE"/>
    <w:rsid w:val="007850BF"/>
    <w:rsid w:val="00785153"/>
    <w:rsid w:val="007A12AC"/>
    <w:rsid w:val="007A1819"/>
    <w:rsid w:val="007A2C0B"/>
    <w:rsid w:val="007A39AB"/>
    <w:rsid w:val="007A3CE1"/>
    <w:rsid w:val="007A6E2C"/>
    <w:rsid w:val="007A6EA3"/>
    <w:rsid w:val="007B1EDD"/>
    <w:rsid w:val="007B7370"/>
    <w:rsid w:val="007C2F46"/>
    <w:rsid w:val="007C399F"/>
    <w:rsid w:val="007C597D"/>
    <w:rsid w:val="007C6755"/>
    <w:rsid w:val="007D0F8B"/>
    <w:rsid w:val="007D5CF6"/>
    <w:rsid w:val="007D7DA1"/>
    <w:rsid w:val="007E0901"/>
    <w:rsid w:val="007E1873"/>
    <w:rsid w:val="007E2AEC"/>
    <w:rsid w:val="007E588C"/>
    <w:rsid w:val="007E72AD"/>
    <w:rsid w:val="007F0E58"/>
    <w:rsid w:val="007F1181"/>
    <w:rsid w:val="007F78A5"/>
    <w:rsid w:val="008017DB"/>
    <w:rsid w:val="008068DA"/>
    <w:rsid w:val="008073D4"/>
    <w:rsid w:val="00811041"/>
    <w:rsid w:val="00812B4A"/>
    <w:rsid w:val="00813E3A"/>
    <w:rsid w:val="00815F3A"/>
    <w:rsid w:val="008163FD"/>
    <w:rsid w:val="00822310"/>
    <w:rsid w:val="008230CB"/>
    <w:rsid w:val="00825D44"/>
    <w:rsid w:val="00826D15"/>
    <w:rsid w:val="008277A3"/>
    <w:rsid w:val="00831039"/>
    <w:rsid w:val="00832918"/>
    <w:rsid w:val="00832AB0"/>
    <w:rsid w:val="008437E8"/>
    <w:rsid w:val="00844903"/>
    <w:rsid w:val="008453BE"/>
    <w:rsid w:val="00845979"/>
    <w:rsid w:val="00851F19"/>
    <w:rsid w:val="008626DC"/>
    <w:rsid w:val="00863084"/>
    <w:rsid w:val="008654A1"/>
    <w:rsid w:val="00870934"/>
    <w:rsid w:val="008710CE"/>
    <w:rsid w:val="00871F1C"/>
    <w:rsid w:val="00872D53"/>
    <w:rsid w:val="00873BAE"/>
    <w:rsid w:val="00880A61"/>
    <w:rsid w:val="008907C5"/>
    <w:rsid w:val="00891518"/>
    <w:rsid w:val="00891A45"/>
    <w:rsid w:val="00897401"/>
    <w:rsid w:val="008A11BA"/>
    <w:rsid w:val="008A4A6F"/>
    <w:rsid w:val="008A5EC7"/>
    <w:rsid w:val="008A7A4E"/>
    <w:rsid w:val="008B0432"/>
    <w:rsid w:val="008B1293"/>
    <w:rsid w:val="008B62CE"/>
    <w:rsid w:val="008C01D1"/>
    <w:rsid w:val="008C07AE"/>
    <w:rsid w:val="008C3000"/>
    <w:rsid w:val="008C5921"/>
    <w:rsid w:val="008C5AAC"/>
    <w:rsid w:val="008C658D"/>
    <w:rsid w:val="008E0274"/>
    <w:rsid w:val="008E032D"/>
    <w:rsid w:val="008E2D4D"/>
    <w:rsid w:val="008E56F9"/>
    <w:rsid w:val="008F5EC4"/>
    <w:rsid w:val="0090166F"/>
    <w:rsid w:val="00903263"/>
    <w:rsid w:val="00905210"/>
    <w:rsid w:val="009075B6"/>
    <w:rsid w:val="009132FB"/>
    <w:rsid w:val="00913767"/>
    <w:rsid w:val="00913851"/>
    <w:rsid w:val="00915601"/>
    <w:rsid w:val="00916DF8"/>
    <w:rsid w:val="009177BA"/>
    <w:rsid w:val="00920B27"/>
    <w:rsid w:val="0092229E"/>
    <w:rsid w:val="0092350E"/>
    <w:rsid w:val="00923CC4"/>
    <w:rsid w:val="00926B82"/>
    <w:rsid w:val="00935F30"/>
    <w:rsid w:val="00941554"/>
    <w:rsid w:val="00941770"/>
    <w:rsid w:val="00945947"/>
    <w:rsid w:val="00961C22"/>
    <w:rsid w:val="0096264E"/>
    <w:rsid w:val="009632F7"/>
    <w:rsid w:val="009639F8"/>
    <w:rsid w:val="009735DC"/>
    <w:rsid w:val="00973781"/>
    <w:rsid w:val="009811BF"/>
    <w:rsid w:val="009862F2"/>
    <w:rsid w:val="009907FB"/>
    <w:rsid w:val="00992785"/>
    <w:rsid w:val="00992AB3"/>
    <w:rsid w:val="0099500E"/>
    <w:rsid w:val="00997C9D"/>
    <w:rsid w:val="009A1664"/>
    <w:rsid w:val="009A3437"/>
    <w:rsid w:val="009A34CD"/>
    <w:rsid w:val="009A3DAA"/>
    <w:rsid w:val="009A774F"/>
    <w:rsid w:val="009B20B3"/>
    <w:rsid w:val="009B3317"/>
    <w:rsid w:val="009B6AE8"/>
    <w:rsid w:val="009B708A"/>
    <w:rsid w:val="009C28A2"/>
    <w:rsid w:val="009C492B"/>
    <w:rsid w:val="009C5340"/>
    <w:rsid w:val="009C5467"/>
    <w:rsid w:val="009C69AD"/>
    <w:rsid w:val="009C7A02"/>
    <w:rsid w:val="009C7AE1"/>
    <w:rsid w:val="009D074A"/>
    <w:rsid w:val="009D2598"/>
    <w:rsid w:val="009D3929"/>
    <w:rsid w:val="009D66F5"/>
    <w:rsid w:val="009E1AD0"/>
    <w:rsid w:val="009E2AC8"/>
    <w:rsid w:val="009E41C3"/>
    <w:rsid w:val="009E71F6"/>
    <w:rsid w:val="009F0804"/>
    <w:rsid w:val="00A0088A"/>
    <w:rsid w:val="00A037F2"/>
    <w:rsid w:val="00A03F99"/>
    <w:rsid w:val="00A05F57"/>
    <w:rsid w:val="00A15768"/>
    <w:rsid w:val="00A20B57"/>
    <w:rsid w:val="00A22B00"/>
    <w:rsid w:val="00A33ACB"/>
    <w:rsid w:val="00A40E14"/>
    <w:rsid w:val="00A42183"/>
    <w:rsid w:val="00A42639"/>
    <w:rsid w:val="00A44736"/>
    <w:rsid w:val="00A545E7"/>
    <w:rsid w:val="00A60119"/>
    <w:rsid w:val="00A62C6C"/>
    <w:rsid w:val="00A66948"/>
    <w:rsid w:val="00A74D07"/>
    <w:rsid w:val="00A860DA"/>
    <w:rsid w:val="00A92883"/>
    <w:rsid w:val="00A95616"/>
    <w:rsid w:val="00AA1C57"/>
    <w:rsid w:val="00AA1E9B"/>
    <w:rsid w:val="00AA25E1"/>
    <w:rsid w:val="00AB35F5"/>
    <w:rsid w:val="00AB3C57"/>
    <w:rsid w:val="00AB5ACD"/>
    <w:rsid w:val="00AB6B5A"/>
    <w:rsid w:val="00AC13CB"/>
    <w:rsid w:val="00AC1500"/>
    <w:rsid w:val="00AC2AD0"/>
    <w:rsid w:val="00AC7240"/>
    <w:rsid w:val="00AC7AC9"/>
    <w:rsid w:val="00AD1B44"/>
    <w:rsid w:val="00AD2ED0"/>
    <w:rsid w:val="00AD4C32"/>
    <w:rsid w:val="00AD4D66"/>
    <w:rsid w:val="00AD648E"/>
    <w:rsid w:val="00AD6E40"/>
    <w:rsid w:val="00AD6E8C"/>
    <w:rsid w:val="00AE0795"/>
    <w:rsid w:val="00AE3BE2"/>
    <w:rsid w:val="00AE4E82"/>
    <w:rsid w:val="00AF444B"/>
    <w:rsid w:val="00B034DA"/>
    <w:rsid w:val="00B05936"/>
    <w:rsid w:val="00B1178F"/>
    <w:rsid w:val="00B16ADE"/>
    <w:rsid w:val="00B22163"/>
    <w:rsid w:val="00B2263B"/>
    <w:rsid w:val="00B257A3"/>
    <w:rsid w:val="00B27687"/>
    <w:rsid w:val="00B27F77"/>
    <w:rsid w:val="00B303CB"/>
    <w:rsid w:val="00B32413"/>
    <w:rsid w:val="00B36BB6"/>
    <w:rsid w:val="00B376C6"/>
    <w:rsid w:val="00B428B8"/>
    <w:rsid w:val="00B43B24"/>
    <w:rsid w:val="00B45097"/>
    <w:rsid w:val="00B4519D"/>
    <w:rsid w:val="00B452E2"/>
    <w:rsid w:val="00B46465"/>
    <w:rsid w:val="00B50F8D"/>
    <w:rsid w:val="00B56947"/>
    <w:rsid w:val="00B56D3F"/>
    <w:rsid w:val="00B57918"/>
    <w:rsid w:val="00B60A1C"/>
    <w:rsid w:val="00B62E26"/>
    <w:rsid w:val="00B63325"/>
    <w:rsid w:val="00B64C37"/>
    <w:rsid w:val="00B67005"/>
    <w:rsid w:val="00B672A3"/>
    <w:rsid w:val="00B67B0C"/>
    <w:rsid w:val="00B72CA6"/>
    <w:rsid w:val="00B92F9C"/>
    <w:rsid w:val="00B934CD"/>
    <w:rsid w:val="00BA022B"/>
    <w:rsid w:val="00BA6900"/>
    <w:rsid w:val="00BA733D"/>
    <w:rsid w:val="00BB0D0C"/>
    <w:rsid w:val="00BB22C9"/>
    <w:rsid w:val="00BB5252"/>
    <w:rsid w:val="00BB6263"/>
    <w:rsid w:val="00BB73D9"/>
    <w:rsid w:val="00BC404F"/>
    <w:rsid w:val="00BC78E7"/>
    <w:rsid w:val="00BD284F"/>
    <w:rsid w:val="00BE00C1"/>
    <w:rsid w:val="00BE1EDD"/>
    <w:rsid w:val="00BE26DC"/>
    <w:rsid w:val="00BE2B70"/>
    <w:rsid w:val="00BE3A00"/>
    <w:rsid w:val="00BF3FC1"/>
    <w:rsid w:val="00BF674B"/>
    <w:rsid w:val="00BF7EB6"/>
    <w:rsid w:val="00C008FD"/>
    <w:rsid w:val="00C00FD0"/>
    <w:rsid w:val="00C03D76"/>
    <w:rsid w:val="00C06529"/>
    <w:rsid w:val="00C111D8"/>
    <w:rsid w:val="00C12DEF"/>
    <w:rsid w:val="00C1770E"/>
    <w:rsid w:val="00C2658F"/>
    <w:rsid w:val="00C30515"/>
    <w:rsid w:val="00C30A0D"/>
    <w:rsid w:val="00C36E26"/>
    <w:rsid w:val="00C3743A"/>
    <w:rsid w:val="00C43103"/>
    <w:rsid w:val="00C46441"/>
    <w:rsid w:val="00C55E20"/>
    <w:rsid w:val="00C57499"/>
    <w:rsid w:val="00C6020C"/>
    <w:rsid w:val="00C61FC6"/>
    <w:rsid w:val="00C65CEE"/>
    <w:rsid w:val="00C72ECA"/>
    <w:rsid w:val="00C839E1"/>
    <w:rsid w:val="00C9336D"/>
    <w:rsid w:val="00CA1A0E"/>
    <w:rsid w:val="00CA273F"/>
    <w:rsid w:val="00CA3D38"/>
    <w:rsid w:val="00CA3F68"/>
    <w:rsid w:val="00CA7E6A"/>
    <w:rsid w:val="00CB74A7"/>
    <w:rsid w:val="00CC0C4C"/>
    <w:rsid w:val="00CC28E0"/>
    <w:rsid w:val="00CC33E8"/>
    <w:rsid w:val="00CD13A8"/>
    <w:rsid w:val="00CD1A29"/>
    <w:rsid w:val="00CD2BA5"/>
    <w:rsid w:val="00CD311D"/>
    <w:rsid w:val="00CD3377"/>
    <w:rsid w:val="00CE34FB"/>
    <w:rsid w:val="00CE5E6D"/>
    <w:rsid w:val="00CE73F5"/>
    <w:rsid w:val="00CF68E6"/>
    <w:rsid w:val="00CF7FB2"/>
    <w:rsid w:val="00D008B5"/>
    <w:rsid w:val="00D0386C"/>
    <w:rsid w:val="00D03915"/>
    <w:rsid w:val="00D05DEC"/>
    <w:rsid w:val="00D1003B"/>
    <w:rsid w:val="00D10382"/>
    <w:rsid w:val="00D10B61"/>
    <w:rsid w:val="00D10E01"/>
    <w:rsid w:val="00D15825"/>
    <w:rsid w:val="00D161C2"/>
    <w:rsid w:val="00D17BBA"/>
    <w:rsid w:val="00D21E9D"/>
    <w:rsid w:val="00D23A18"/>
    <w:rsid w:val="00D23C52"/>
    <w:rsid w:val="00D23F97"/>
    <w:rsid w:val="00D37915"/>
    <w:rsid w:val="00D41CBA"/>
    <w:rsid w:val="00D43351"/>
    <w:rsid w:val="00D44494"/>
    <w:rsid w:val="00D52FBC"/>
    <w:rsid w:val="00D56141"/>
    <w:rsid w:val="00D57935"/>
    <w:rsid w:val="00D61B6D"/>
    <w:rsid w:val="00D64EAC"/>
    <w:rsid w:val="00D70E2E"/>
    <w:rsid w:val="00D715A1"/>
    <w:rsid w:val="00D72061"/>
    <w:rsid w:val="00D74807"/>
    <w:rsid w:val="00D82811"/>
    <w:rsid w:val="00D9005D"/>
    <w:rsid w:val="00D9035C"/>
    <w:rsid w:val="00D90D2F"/>
    <w:rsid w:val="00D93C56"/>
    <w:rsid w:val="00D94DA7"/>
    <w:rsid w:val="00D96F4D"/>
    <w:rsid w:val="00D97423"/>
    <w:rsid w:val="00DA282E"/>
    <w:rsid w:val="00DA3AB4"/>
    <w:rsid w:val="00DB2442"/>
    <w:rsid w:val="00DC0294"/>
    <w:rsid w:val="00DC33DC"/>
    <w:rsid w:val="00DC50D8"/>
    <w:rsid w:val="00DC664E"/>
    <w:rsid w:val="00DD035D"/>
    <w:rsid w:val="00DD232D"/>
    <w:rsid w:val="00DD6E7E"/>
    <w:rsid w:val="00DE26C9"/>
    <w:rsid w:val="00DF6093"/>
    <w:rsid w:val="00E00780"/>
    <w:rsid w:val="00E010DF"/>
    <w:rsid w:val="00E03E69"/>
    <w:rsid w:val="00E114DB"/>
    <w:rsid w:val="00E120CB"/>
    <w:rsid w:val="00E17705"/>
    <w:rsid w:val="00E17FCD"/>
    <w:rsid w:val="00E21F75"/>
    <w:rsid w:val="00E25BD9"/>
    <w:rsid w:val="00E26132"/>
    <w:rsid w:val="00E266C0"/>
    <w:rsid w:val="00E27CC4"/>
    <w:rsid w:val="00E317DA"/>
    <w:rsid w:val="00E339A0"/>
    <w:rsid w:val="00E407A2"/>
    <w:rsid w:val="00E43461"/>
    <w:rsid w:val="00E44B5D"/>
    <w:rsid w:val="00E546A6"/>
    <w:rsid w:val="00E5783B"/>
    <w:rsid w:val="00E6082B"/>
    <w:rsid w:val="00E711AA"/>
    <w:rsid w:val="00E71637"/>
    <w:rsid w:val="00E73752"/>
    <w:rsid w:val="00E74A24"/>
    <w:rsid w:val="00E76C65"/>
    <w:rsid w:val="00E80E2D"/>
    <w:rsid w:val="00E820B7"/>
    <w:rsid w:val="00E85508"/>
    <w:rsid w:val="00E85D06"/>
    <w:rsid w:val="00E86716"/>
    <w:rsid w:val="00E86E4B"/>
    <w:rsid w:val="00E90BD0"/>
    <w:rsid w:val="00E96748"/>
    <w:rsid w:val="00E97924"/>
    <w:rsid w:val="00EA18AD"/>
    <w:rsid w:val="00EA2253"/>
    <w:rsid w:val="00EA360F"/>
    <w:rsid w:val="00EA72BB"/>
    <w:rsid w:val="00EB21FF"/>
    <w:rsid w:val="00EB4132"/>
    <w:rsid w:val="00EC6120"/>
    <w:rsid w:val="00EC6B06"/>
    <w:rsid w:val="00ED72DA"/>
    <w:rsid w:val="00EE3738"/>
    <w:rsid w:val="00EE67C1"/>
    <w:rsid w:val="00EE68C2"/>
    <w:rsid w:val="00EF3EF8"/>
    <w:rsid w:val="00EF7396"/>
    <w:rsid w:val="00F02476"/>
    <w:rsid w:val="00F02A35"/>
    <w:rsid w:val="00F03CCE"/>
    <w:rsid w:val="00F116B8"/>
    <w:rsid w:val="00F16465"/>
    <w:rsid w:val="00F17CDD"/>
    <w:rsid w:val="00F2040E"/>
    <w:rsid w:val="00F24910"/>
    <w:rsid w:val="00F2568E"/>
    <w:rsid w:val="00F259FD"/>
    <w:rsid w:val="00F2700C"/>
    <w:rsid w:val="00F273ED"/>
    <w:rsid w:val="00F35818"/>
    <w:rsid w:val="00F47569"/>
    <w:rsid w:val="00F514EA"/>
    <w:rsid w:val="00F547A6"/>
    <w:rsid w:val="00F60253"/>
    <w:rsid w:val="00F63FB3"/>
    <w:rsid w:val="00F80216"/>
    <w:rsid w:val="00F810D1"/>
    <w:rsid w:val="00F81F42"/>
    <w:rsid w:val="00F837C5"/>
    <w:rsid w:val="00F91635"/>
    <w:rsid w:val="00F929D8"/>
    <w:rsid w:val="00F96550"/>
    <w:rsid w:val="00F972B2"/>
    <w:rsid w:val="00FA2C5B"/>
    <w:rsid w:val="00FA3AA0"/>
    <w:rsid w:val="00FA5759"/>
    <w:rsid w:val="00FA7F02"/>
    <w:rsid w:val="00FB0A21"/>
    <w:rsid w:val="00FB1BF5"/>
    <w:rsid w:val="00FB4EE0"/>
    <w:rsid w:val="00FB4FBC"/>
    <w:rsid w:val="00FB5DA4"/>
    <w:rsid w:val="00FB7285"/>
    <w:rsid w:val="00FC5521"/>
    <w:rsid w:val="00FC5A04"/>
    <w:rsid w:val="00FC66C7"/>
    <w:rsid w:val="00FC72D2"/>
    <w:rsid w:val="00FD04AF"/>
    <w:rsid w:val="00FD1F5B"/>
    <w:rsid w:val="00FE19FE"/>
    <w:rsid w:val="00FE31A9"/>
    <w:rsid w:val="00FF2B08"/>
    <w:rsid w:val="00FF4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semiHidden/>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
    <w:name w:val="textoacord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
    <w:name w:val="remiss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9336D"/>
    <w:rPr>
      <w:color w:val="800080" w:themeColor="followedHyperlink"/>
      <w:u w:val="single"/>
    </w:rPr>
  </w:style>
  <w:style w:type="character" w:styleId="nfase">
    <w:name w:val="Emphasis"/>
    <w:basedOn w:val="Fontepargpadro"/>
    <w:uiPriority w:val="20"/>
    <w:qFormat/>
    <w:rsid w:val="00D161C2"/>
    <w:rPr>
      <w:i/>
      <w:iCs/>
    </w:rPr>
  </w:style>
  <w:style w:type="paragraph" w:styleId="SemEspaamento">
    <w:name w:val="No Spacing"/>
    <w:uiPriority w:val="1"/>
    <w:qFormat/>
    <w:rsid w:val="00B16ADE"/>
    <w:pPr>
      <w:spacing w:after="0" w:line="240" w:lineRule="auto"/>
    </w:pPr>
  </w:style>
  <w:style w:type="paragraph" w:styleId="Corpodetexto">
    <w:name w:val="Body Text"/>
    <w:basedOn w:val="Normal"/>
    <w:link w:val="CorpodetextoChar"/>
    <w:uiPriority w:val="99"/>
    <w:unhideWhenUsed/>
    <w:rsid w:val="00104D11"/>
    <w:pPr>
      <w:spacing w:after="120"/>
    </w:pPr>
  </w:style>
  <w:style w:type="character" w:customStyle="1" w:styleId="CorpodetextoChar">
    <w:name w:val="Corpo de texto Char"/>
    <w:basedOn w:val="Fontepargpadro"/>
    <w:link w:val="Corpodetexto"/>
    <w:uiPriority w:val="99"/>
    <w:rsid w:val="00104D11"/>
  </w:style>
  <w:style w:type="paragraph" w:styleId="Textodenotaderodap">
    <w:name w:val="footnote text"/>
    <w:basedOn w:val="Normal"/>
    <w:link w:val="TextodenotaderodapChar"/>
    <w:uiPriority w:val="99"/>
    <w:unhideWhenUsed/>
    <w:rsid w:val="00104D1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04D11"/>
    <w:rPr>
      <w:sz w:val="20"/>
      <w:szCs w:val="20"/>
    </w:rPr>
  </w:style>
  <w:style w:type="character" w:styleId="Refdenotaderodap">
    <w:name w:val="footnote reference"/>
    <w:basedOn w:val="Fontepargpadro"/>
    <w:uiPriority w:val="99"/>
    <w:semiHidden/>
    <w:unhideWhenUsed/>
    <w:rsid w:val="00104D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semiHidden/>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cordo">
    <w:name w:val="textoacord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misso">
    <w:name w:val="remisso"/>
    <w:basedOn w:val="Normal"/>
    <w:rsid w:val="007231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C9336D"/>
    <w:rPr>
      <w:color w:val="800080" w:themeColor="followedHyperlink"/>
      <w:u w:val="single"/>
    </w:rPr>
  </w:style>
  <w:style w:type="character" w:styleId="nfase">
    <w:name w:val="Emphasis"/>
    <w:basedOn w:val="Fontepargpadro"/>
    <w:uiPriority w:val="20"/>
    <w:qFormat/>
    <w:rsid w:val="00D161C2"/>
    <w:rPr>
      <w:i/>
      <w:iCs/>
    </w:rPr>
  </w:style>
  <w:style w:type="paragraph" w:styleId="SemEspaamento">
    <w:name w:val="No Spacing"/>
    <w:uiPriority w:val="1"/>
    <w:qFormat/>
    <w:rsid w:val="00B16ADE"/>
    <w:pPr>
      <w:spacing w:after="0" w:line="240" w:lineRule="auto"/>
    </w:pPr>
  </w:style>
  <w:style w:type="paragraph" w:styleId="Corpodetexto">
    <w:name w:val="Body Text"/>
    <w:basedOn w:val="Normal"/>
    <w:link w:val="CorpodetextoChar"/>
    <w:uiPriority w:val="99"/>
    <w:unhideWhenUsed/>
    <w:rsid w:val="00104D11"/>
    <w:pPr>
      <w:spacing w:after="120"/>
    </w:pPr>
  </w:style>
  <w:style w:type="character" w:customStyle="1" w:styleId="CorpodetextoChar">
    <w:name w:val="Corpo de texto Char"/>
    <w:basedOn w:val="Fontepargpadro"/>
    <w:link w:val="Corpodetexto"/>
    <w:uiPriority w:val="99"/>
    <w:rsid w:val="00104D11"/>
  </w:style>
  <w:style w:type="paragraph" w:styleId="Textodenotaderodap">
    <w:name w:val="footnote text"/>
    <w:basedOn w:val="Normal"/>
    <w:link w:val="TextodenotaderodapChar"/>
    <w:uiPriority w:val="99"/>
    <w:unhideWhenUsed/>
    <w:rsid w:val="00104D1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04D11"/>
    <w:rPr>
      <w:sz w:val="20"/>
      <w:szCs w:val="20"/>
    </w:rPr>
  </w:style>
  <w:style w:type="character" w:styleId="Refdenotaderodap">
    <w:name w:val="footnote reference"/>
    <w:basedOn w:val="Fontepargpadro"/>
    <w:uiPriority w:val="99"/>
    <w:semiHidden/>
    <w:unhideWhenUsed/>
    <w:rsid w:val="00104D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955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2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33076">
      <w:bodyDiv w:val="1"/>
      <w:marLeft w:val="0"/>
      <w:marRight w:val="0"/>
      <w:marTop w:val="0"/>
      <w:marBottom w:val="0"/>
      <w:divBdr>
        <w:top w:val="none" w:sz="0" w:space="0" w:color="auto"/>
        <w:left w:val="none" w:sz="0" w:space="0" w:color="auto"/>
        <w:bottom w:val="none" w:sz="0" w:space="0" w:color="auto"/>
        <w:right w:val="none" w:sz="0" w:space="0" w:color="auto"/>
      </w:divBdr>
    </w:div>
    <w:div w:id="121198059">
      <w:bodyDiv w:val="1"/>
      <w:marLeft w:val="0"/>
      <w:marRight w:val="0"/>
      <w:marTop w:val="0"/>
      <w:marBottom w:val="0"/>
      <w:divBdr>
        <w:top w:val="none" w:sz="0" w:space="0" w:color="auto"/>
        <w:left w:val="none" w:sz="0" w:space="0" w:color="auto"/>
        <w:bottom w:val="none" w:sz="0" w:space="0" w:color="auto"/>
        <w:right w:val="none" w:sz="0" w:space="0" w:color="auto"/>
      </w:divBdr>
      <w:divsChild>
        <w:div w:id="1099330218">
          <w:marLeft w:val="0"/>
          <w:marRight w:val="0"/>
          <w:marTop w:val="0"/>
          <w:marBottom w:val="0"/>
          <w:divBdr>
            <w:top w:val="none" w:sz="0" w:space="0" w:color="auto"/>
            <w:left w:val="none" w:sz="0" w:space="0" w:color="auto"/>
            <w:bottom w:val="none" w:sz="0" w:space="0" w:color="auto"/>
            <w:right w:val="none" w:sz="0" w:space="0" w:color="auto"/>
          </w:divBdr>
        </w:div>
      </w:divsChild>
    </w:div>
    <w:div w:id="139083863">
      <w:bodyDiv w:val="1"/>
      <w:marLeft w:val="0"/>
      <w:marRight w:val="0"/>
      <w:marTop w:val="0"/>
      <w:marBottom w:val="0"/>
      <w:divBdr>
        <w:top w:val="none" w:sz="0" w:space="0" w:color="auto"/>
        <w:left w:val="none" w:sz="0" w:space="0" w:color="auto"/>
        <w:bottom w:val="none" w:sz="0" w:space="0" w:color="auto"/>
        <w:right w:val="none" w:sz="0" w:space="0" w:color="auto"/>
      </w:divBdr>
    </w:div>
    <w:div w:id="270669015">
      <w:bodyDiv w:val="1"/>
      <w:marLeft w:val="0"/>
      <w:marRight w:val="0"/>
      <w:marTop w:val="0"/>
      <w:marBottom w:val="0"/>
      <w:divBdr>
        <w:top w:val="none" w:sz="0" w:space="0" w:color="auto"/>
        <w:left w:val="none" w:sz="0" w:space="0" w:color="auto"/>
        <w:bottom w:val="none" w:sz="0" w:space="0" w:color="auto"/>
        <w:right w:val="none" w:sz="0" w:space="0" w:color="auto"/>
      </w:divBdr>
      <w:divsChild>
        <w:div w:id="638221034">
          <w:marLeft w:val="0"/>
          <w:marRight w:val="0"/>
          <w:marTop w:val="0"/>
          <w:marBottom w:val="0"/>
          <w:divBdr>
            <w:top w:val="none" w:sz="0" w:space="0" w:color="auto"/>
            <w:left w:val="none" w:sz="0" w:space="0" w:color="auto"/>
            <w:bottom w:val="none" w:sz="0" w:space="0" w:color="auto"/>
            <w:right w:val="none" w:sz="0" w:space="0" w:color="auto"/>
          </w:divBdr>
        </w:div>
      </w:divsChild>
    </w:div>
    <w:div w:id="306906908">
      <w:bodyDiv w:val="1"/>
      <w:marLeft w:val="0"/>
      <w:marRight w:val="0"/>
      <w:marTop w:val="0"/>
      <w:marBottom w:val="0"/>
      <w:divBdr>
        <w:top w:val="none" w:sz="0" w:space="0" w:color="auto"/>
        <w:left w:val="none" w:sz="0" w:space="0" w:color="auto"/>
        <w:bottom w:val="none" w:sz="0" w:space="0" w:color="auto"/>
        <w:right w:val="none" w:sz="0" w:space="0" w:color="auto"/>
      </w:divBdr>
    </w:div>
    <w:div w:id="412776098">
      <w:bodyDiv w:val="1"/>
      <w:marLeft w:val="0"/>
      <w:marRight w:val="0"/>
      <w:marTop w:val="0"/>
      <w:marBottom w:val="0"/>
      <w:divBdr>
        <w:top w:val="none" w:sz="0" w:space="0" w:color="auto"/>
        <w:left w:val="none" w:sz="0" w:space="0" w:color="auto"/>
        <w:bottom w:val="none" w:sz="0" w:space="0" w:color="auto"/>
        <w:right w:val="none" w:sz="0" w:space="0" w:color="auto"/>
      </w:divBdr>
    </w:div>
    <w:div w:id="477454659">
      <w:bodyDiv w:val="1"/>
      <w:marLeft w:val="0"/>
      <w:marRight w:val="0"/>
      <w:marTop w:val="0"/>
      <w:marBottom w:val="0"/>
      <w:divBdr>
        <w:top w:val="none" w:sz="0" w:space="0" w:color="auto"/>
        <w:left w:val="none" w:sz="0" w:space="0" w:color="auto"/>
        <w:bottom w:val="none" w:sz="0" w:space="0" w:color="auto"/>
        <w:right w:val="none" w:sz="0" w:space="0" w:color="auto"/>
      </w:divBdr>
    </w:div>
    <w:div w:id="527569253">
      <w:bodyDiv w:val="1"/>
      <w:marLeft w:val="0"/>
      <w:marRight w:val="0"/>
      <w:marTop w:val="0"/>
      <w:marBottom w:val="0"/>
      <w:divBdr>
        <w:top w:val="none" w:sz="0" w:space="0" w:color="auto"/>
        <w:left w:val="none" w:sz="0" w:space="0" w:color="auto"/>
        <w:bottom w:val="none" w:sz="0" w:space="0" w:color="auto"/>
        <w:right w:val="none" w:sz="0" w:space="0" w:color="auto"/>
      </w:divBdr>
    </w:div>
    <w:div w:id="561330068">
      <w:bodyDiv w:val="1"/>
      <w:marLeft w:val="0"/>
      <w:marRight w:val="0"/>
      <w:marTop w:val="0"/>
      <w:marBottom w:val="0"/>
      <w:divBdr>
        <w:top w:val="none" w:sz="0" w:space="0" w:color="auto"/>
        <w:left w:val="none" w:sz="0" w:space="0" w:color="auto"/>
        <w:bottom w:val="none" w:sz="0" w:space="0" w:color="auto"/>
        <w:right w:val="none" w:sz="0" w:space="0" w:color="auto"/>
      </w:divBdr>
    </w:div>
    <w:div w:id="668024693">
      <w:bodyDiv w:val="1"/>
      <w:marLeft w:val="0"/>
      <w:marRight w:val="0"/>
      <w:marTop w:val="0"/>
      <w:marBottom w:val="0"/>
      <w:divBdr>
        <w:top w:val="none" w:sz="0" w:space="0" w:color="auto"/>
        <w:left w:val="none" w:sz="0" w:space="0" w:color="auto"/>
        <w:bottom w:val="none" w:sz="0" w:space="0" w:color="auto"/>
        <w:right w:val="none" w:sz="0" w:space="0" w:color="auto"/>
      </w:divBdr>
    </w:div>
    <w:div w:id="688994428">
      <w:bodyDiv w:val="1"/>
      <w:marLeft w:val="0"/>
      <w:marRight w:val="0"/>
      <w:marTop w:val="0"/>
      <w:marBottom w:val="0"/>
      <w:divBdr>
        <w:top w:val="none" w:sz="0" w:space="0" w:color="auto"/>
        <w:left w:val="none" w:sz="0" w:space="0" w:color="auto"/>
        <w:bottom w:val="none" w:sz="0" w:space="0" w:color="auto"/>
        <w:right w:val="none" w:sz="0" w:space="0" w:color="auto"/>
      </w:divBdr>
    </w:div>
    <w:div w:id="717554629">
      <w:bodyDiv w:val="1"/>
      <w:marLeft w:val="0"/>
      <w:marRight w:val="0"/>
      <w:marTop w:val="0"/>
      <w:marBottom w:val="0"/>
      <w:divBdr>
        <w:top w:val="none" w:sz="0" w:space="0" w:color="auto"/>
        <w:left w:val="none" w:sz="0" w:space="0" w:color="auto"/>
        <w:bottom w:val="none" w:sz="0" w:space="0" w:color="auto"/>
        <w:right w:val="none" w:sz="0" w:space="0" w:color="auto"/>
      </w:divBdr>
    </w:div>
    <w:div w:id="753891243">
      <w:bodyDiv w:val="1"/>
      <w:marLeft w:val="0"/>
      <w:marRight w:val="0"/>
      <w:marTop w:val="0"/>
      <w:marBottom w:val="0"/>
      <w:divBdr>
        <w:top w:val="none" w:sz="0" w:space="0" w:color="auto"/>
        <w:left w:val="none" w:sz="0" w:space="0" w:color="auto"/>
        <w:bottom w:val="none" w:sz="0" w:space="0" w:color="auto"/>
        <w:right w:val="none" w:sz="0" w:space="0" w:color="auto"/>
      </w:divBdr>
    </w:div>
    <w:div w:id="773862340">
      <w:bodyDiv w:val="1"/>
      <w:marLeft w:val="0"/>
      <w:marRight w:val="0"/>
      <w:marTop w:val="0"/>
      <w:marBottom w:val="0"/>
      <w:divBdr>
        <w:top w:val="none" w:sz="0" w:space="0" w:color="auto"/>
        <w:left w:val="none" w:sz="0" w:space="0" w:color="auto"/>
        <w:bottom w:val="none" w:sz="0" w:space="0" w:color="auto"/>
        <w:right w:val="none" w:sz="0" w:space="0" w:color="auto"/>
      </w:divBdr>
    </w:div>
    <w:div w:id="956453403">
      <w:bodyDiv w:val="1"/>
      <w:marLeft w:val="0"/>
      <w:marRight w:val="0"/>
      <w:marTop w:val="0"/>
      <w:marBottom w:val="0"/>
      <w:divBdr>
        <w:top w:val="none" w:sz="0" w:space="0" w:color="auto"/>
        <w:left w:val="none" w:sz="0" w:space="0" w:color="auto"/>
        <w:bottom w:val="none" w:sz="0" w:space="0" w:color="auto"/>
        <w:right w:val="none" w:sz="0" w:space="0" w:color="auto"/>
      </w:divBdr>
    </w:div>
    <w:div w:id="1000622287">
      <w:bodyDiv w:val="1"/>
      <w:marLeft w:val="0"/>
      <w:marRight w:val="0"/>
      <w:marTop w:val="0"/>
      <w:marBottom w:val="0"/>
      <w:divBdr>
        <w:top w:val="none" w:sz="0" w:space="0" w:color="auto"/>
        <w:left w:val="none" w:sz="0" w:space="0" w:color="auto"/>
        <w:bottom w:val="none" w:sz="0" w:space="0" w:color="auto"/>
        <w:right w:val="none" w:sz="0" w:space="0" w:color="auto"/>
      </w:divBdr>
    </w:div>
    <w:div w:id="1071923774">
      <w:bodyDiv w:val="1"/>
      <w:marLeft w:val="0"/>
      <w:marRight w:val="0"/>
      <w:marTop w:val="0"/>
      <w:marBottom w:val="0"/>
      <w:divBdr>
        <w:top w:val="none" w:sz="0" w:space="0" w:color="auto"/>
        <w:left w:val="none" w:sz="0" w:space="0" w:color="auto"/>
        <w:bottom w:val="none" w:sz="0" w:space="0" w:color="auto"/>
        <w:right w:val="none" w:sz="0" w:space="0" w:color="auto"/>
      </w:divBdr>
    </w:div>
    <w:div w:id="1131287518">
      <w:bodyDiv w:val="1"/>
      <w:marLeft w:val="0"/>
      <w:marRight w:val="0"/>
      <w:marTop w:val="0"/>
      <w:marBottom w:val="0"/>
      <w:divBdr>
        <w:top w:val="none" w:sz="0" w:space="0" w:color="auto"/>
        <w:left w:val="none" w:sz="0" w:space="0" w:color="auto"/>
        <w:bottom w:val="none" w:sz="0" w:space="0" w:color="auto"/>
        <w:right w:val="none" w:sz="0" w:space="0" w:color="auto"/>
      </w:divBdr>
    </w:div>
    <w:div w:id="1245341136">
      <w:bodyDiv w:val="1"/>
      <w:marLeft w:val="0"/>
      <w:marRight w:val="0"/>
      <w:marTop w:val="0"/>
      <w:marBottom w:val="0"/>
      <w:divBdr>
        <w:top w:val="none" w:sz="0" w:space="0" w:color="auto"/>
        <w:left w:val="none" w:sz="0" w:space="0" w:color="auto"/>
        <w:bottom w:val="none" w:sz="0" w:space="0" w:color="auto"/>
        <w:right w:val="none" w:sz="0" w:space="0" w:color="auto"/>
      </w:divBdr>
    </w:div>
    <w:div w:id="1290553533">
      <w:bodyDiv w:val="1"/>
      <w:marLeft w:val="0"/>
      <w:marRight w:val="0"/>
      <w:marTop w:val="0"/>
      <w:marBottom w:val="0"/>
      <w:divBdr>
        <w:top w:val="none" w:sz="0" w:space="0" w:color="auto"/>
        <w:left w:val="none" w:sz="0" w:space="0" w:color="auto"/>
        <w:bottom w:val="none" w:sz="0" w:space="0" w:color="auto"/>
        <w:right w:val="none" w:sz="0" w:space="0" w:color="auto"/>
      </w:divBdr>
    </w:div>
    <w:div w:id="1292177056">
      <w:bodyDiv w:val="1"/>
      <w:marLeft w:val="0"/>
      <w:marRight w:val="0"/>
      <w:marTop w:val="0"/>
      <w:marBottom w:val="0"/>
      <w:divBdr>
        <w:top w:val="none" w:sz="0" w:space="0" w:color="auto"/>
        <w:left w:val="none" w:sz="0" w:space="0" w:color="auto"/>
        <w:bottom w:val="none" w:sz="0" w:space="0" w:color="auto"/>
        <w:right w:val="none" w:sz="0" w:space="0" w:color="auto"/>
      </w:divBdr>
      <w:divsChild>
        <w:div w:id="1166822241">
          <w:marLeft w:val="0"/>
          <w:marRight w:val="0"/>
          <w:marTop w:val="0"/>
          <w:marBottom w:val="0"/>
          <w:divBdr>
            <w:top w:val="none" w:sz="0" w:space="0" w:color="auto"/>
            <w:left w:val="none" w:sz="0" w:space="0" w:color="auto"/>
            <w:bottom w:val="none" w:sz="0" w:space="0" w:color="auto"/>
            <w:right w:val="none" w:sz="0" w:space="0" w:color="auto"/>
          </w:divBdr>
        </w:div>
        <w:div w:id="1536239019">
          <w:marLeft w:val="0"/>
          <w:marRight w:val="0"/>
          <w:marTop w:val="0"/>
          <w:marBottom w:val="0"/>
          <w:divBdr>
            <w:top w:val="none" w:sz="0" w:space="0" w:color="auto"/>
            <w:left w:val="none" w:sz="0" w:space="0" w:color="auto"/>
            <w:bottom w:val="none" w:sz="0" w:space="0" w:color="auto"/>
            <w:right w:val="none" w:sz="0" w:space="0" w:color="auto"/>
          </w:divBdr>
        </w:div>
        <w:div w:id="1209073730">
          <w:marLeft w:val="0"/>
          <w:marRight w:val="0"/>
          <w:marTop w:val="0"/>
          <w:marBottom w:val="0"/>
          <w:divBdr>
            <w:top w:val="none" w:sz="0" w:space="0" w:color="auto"/>
            <w:left w:val="none" w:sz="0" w:space="0" w:color="auto"/>
            <w:bottom w:val="none" w:sz="0" w:space="0" w:color="auto"/>
            <w:right w:val="none" w:sz="0" w:space="0" w:color="auto"/>
          </w:divBdr>
          <w:divsChild>
            <w:div w:id="569774887">
              <w:marLeft w:val="0"/>
              <w:marRight w:val="0"/>
              <w:marTop w:val="0"/>
              <w:marBottom w:val="0"/>
              <w:divBdr>
                <w:top w:val="none" w:sz="0" w:space="0" w:color="auto"/>
                <w:left w:val="none" w:sz="0" w:space="0" w:color="auto"/>
                <w:bottom w:val="none" w:sz="0" w:space="0" w:color="auto"/>
                <w:right w:val="none" w:sz="0" w:space="0" w:color="auto"/>
              </w:divBdr>
            </w:div>
          </w:divsChild>
        </w:div>
        <w:div w:id="1717461473">
          <w:marLeft w:val="0"/>
          <w:marRight w:val="0"/>
          <w:marTop w:val="0"/>
          <w:marBottom w:val="0"/>
          <w:divBdr>
            <w:top w:val="none" w:sz="0" w:space="0" w:color="auto"/>
            <w:left w:val="none" w:sz="0" w:space="0" w:color="auto"/>
            <w:bottom w:val="none" w:sz="0" w:space="0" w:color="auto"/>
            <w:right w:val="none" w:sz="0" w:space="0" w:color="auto"/>
          </w:divBdr>
        </w:div>
        <w:div w:id="432896527">
          <w:marLeft w:val="0"/>
          <w:marRight w:val="0"/>
          <w:marTop w:val="0"/>
          <w:marBottom w:val="0"/>
          <w:divBdr>
            <w:top w:val="none" w:sz="0" w:space="0" w:color="auto"/>
            <w:left w:val="none" w:sz="0" w:space="0" w:color="auto"/>
            <w:bottom w:val="none" w:sz="0" w:space="0" w:color="auto"/>
            <w:right w:val="none" w:sz="0" w:space="0" w:color="auto"/>
          </w:divBdr>
        </w:div>
      </w:divsChild>
    </w:div>
    <w:div w:id="1412464128">
      <w:bodyDiv w:val="1"/>
      <w:marLeft w:val="0"/>
      <w:marRight w:val="0"/>
      <w:marTop w:val="0"/>
      <w:marBottom w:val="0"/>
      <w:divBdr>
        <w:top w:val="none" w:sz="0" w:space="0" w:color="auto"/>
        <w:left w:val="none" w:sz="0" w:space="0" w:color="auto"/>
        <w:bottom w:val="none" w:sz="0" w:space="0" w:color="auto"/>
        <w:right w:val="none" w:sz="0" w:space="0" w:color="auto"/>
      </w:divBdr>
    </w:div>
    <w:div w:id="1454445267">
      <w:bodyDiv w:val="1"/>
      <w:marLeft w:val="0"/>
      <w:marRight w:val="0"/>
      <w:marTop w:val="0"/>
      <w:marBottom w:val="0"/>
      <w:divBdr>
        <w:top w:val="none" w:sz="0" w:space="0" w:color="auto"/>
        <w:left w:val="none" w:sz="0" w:space="0" w:color="auto"/>
        <w:bottom w:val="none" w:sz="0" w:space="0" w:color="auto"/>
        <w:right w:val="none" w:sz="0" w:space="0" w:color="auto"/>
      </w:divBdr>
    </w:div>
    <w:div w:id="1467233797">
      <w:bodyDiv w:val="1"/>
      <w:marLeft w:val="0"/>
      <w:marRight w:val="0"/>
      <w:marTop w:val="0"/>
      <w:marBottom w:val="0"/>
      <w:divBdr>
        <w:top w:val="none" w:sz="0" w:space="0" w:color="auto"/>
        <w:left w:val="none" w:sz="0" w:space="0" w:color="auto"/>
        <w:bottom w:val="none" w:sz="0" w:space="0" w:color="auto"/>
        <w:right w:val="none" w:sz="0" w:space="0" w:color="auto"/>
      </w:divBdr>
    </w:div>
    <w:div w:id="1494566486">
      <w:bodyDiv w:val="1"/>
      <w:marLeft w:val="0"/>
      <w:marRight w:val="0"/>
      <w:marTop w:val="0"/>
      <w:marBottom w:val="0"/>
      <w:divBdr>
        <w:top w:val="none" w:sz="0" w:space="0" w:color="auto"/>
        <w:left w:val="none" w:sz="0" w:space="0" w:color="auto"/>
        <w:bottom w:val="none" w:sz="0" w:space="0" w:color="auto"/>
        <w:right w:val="none" w:sz="0" w:space="0" w:color="auto"/>
      </w:divBdr>
    </w:div>
    <w:div w:id="1542592919">
      <w:bodyDiv w:val="1"/>
      <w:marLeft w:val="0"/>
      <w:marRight w:val="0"/>
      <w:marTop w:val="0"/>
      <w:marBottom w:val="0"/>
      <w:divBdr>
        <w:top w:val="none" w:sz="0" w:space="0" w:color="auto"/>
        <w:left w:val="none" w:sz="0" w:space="0" w:color="auto"/>
        <w:bottom w:val="none" w:sz="0" w:space="0" w:color="auto"/>
        <w:right w:val="none" w:sz="0" w:space="0" w:color="auto"/>
      </w:divBdr>
    </w:div>
    <w:div w:id="1611165173">
      <w:bodyDiv w:val="1"/>
      <w:marLeft w:val="0"/>
      <w:marRight w:val="0"/>
      <w:marTop w:val="0"/>
      <w:marBottom w:val="0"/>
      <w:divBdr>
        <w:top w:val="none" w:sz="0" w:space="0" w:color="auto"/>
        <w:left w:val="none" w:sz="0" w:space="0" w:color="auto"/>
        <w:bottom w:val="none" w:sz="0" w:space="0" w:color="auto"/>
        <w:right w:val="none" w:sz="0" w:space="0" w:color="auto"/>
      </w:divBdr>
    </w:div>
    <w:div w:id="1625235360">
      <w:bodyDiv w:val="1"/>
      <w:marLeft w:val="0"/>
      <w:marRight w:val="0"/>
      <w:marTop w:val="0"/>
      <w:marBottom w:val="0"/>
      <w:divBdr>
        <w:top w:val="none" w:sz="0" w:space="0" w:color="auto"/>
        <w:left w:val="none" w:sz="0" w:space="0" w:color="auto"/>
        <w:bottom w:val="none" w:sz="0" w:space="0" w:color="auto"/>
        <w:right w:val="none" w:sz="0" w:space="0" w:color="auto"/>
      </w:divBdr>
    </w:div>
    <w:div w:id="1665934853">
      <w:bodyDiv w:val="1"/>
      <w:marLeft w:val="0"/>
      <w:marRight w:val="0"/>
      <w:marTop w:val="0"/>
      <w:marBottom w:val="0"/>
      <w:divBdr>
        <w:top w:val="none" w:sz="0" w:space="0" w:color="auto"/>
        <w:left w:val="none" w:sz="0" w:space="0" w:color="auto"/>
        <w:bottom w:val="none" w:sz="0" w:space="0" w:color="auto"/>
        <w:right w:val="none" w:sz="0" w:space="0" w:color="auto"/>
      </w:divBdr>
    </w:div>
    <w:div w:id="1672178312">
      <w:bodyDiv w:val="1"/>
      <w:marLeft w:val="0"/>
      <w:marRight w:val="0"/>
      <w:marTop w:val="0"/>
      <w:marBottom w:val="0"/>
      <w:divBdr>
        <w:top w:val="none" w:sz="0" w:space="0" w:color="auto"/>
        <w:left w:val="none" w:sz="0" w:space="0" w:color="auto"/>
        <w:bottom w:val="none" w:sz="0" w:space="0" w:color="auto"/>
        <w:right w:val="none" w:sz="0" w:space="0" w:color="auto"/>
      </w:divBdr>
    </w:div>
    <w:div w:id="1761676746">
      <w:bodyDiv w:val="1"/>
      <w:marLeft w:val="0"/>
      <w:marRight w:val="0"/>
      <w:marTop w:val="0"/>
      <w:marBottom w:val="0"/>
      <w:divBdr>
        <w:top w:val="none" w:sz="0" w:space="0" w:color="auto"/>
        <w:left w:val="none" w:sz="0" w:space="0" w:color="auto"/>
        <w:bottom w:val="none" w:sz="0" w:space="0" w:color="auto"/>
        <w:right w:val="none" w:sz="0" w:space="0" w:color="auto"/>
      </w:divBdr>
    </w:div>
    <w:div w:id="1837912816">
      <w:bodyDiv w:val="1"/>
      <w:marLeft w:val="0"/>
      <w:marRight w:val="0"/>
      <w:marTop w:val="0"/>
      <w:marBottom w:val="0"/>
      <w:divBdr>
        <w:top w:val="none" w:sz="0" w:space="0" w:color="auto"/>
        <w:left w:val="none" w:sz="0" w:space="0" w:color="auto"/>
        <w:bottom w:val="none" w:sz="0" w:space="0" w:color="auto"/>
        <w:right w:val="none" w:sz="0" w:space="0" w:color="auto"/>
      </w:divBdr>
    </w:div>
    <w:div w:id="1851798512">
      <w:bodyDiv w:val="1"/>
      <w:marLeft w:val="0"/>
      <w:marRight w:val="0"/>
      <w:marTop w:val="0"/>
      <w:marBottom w:val="0"/>
      <w:divBdr>
        <w:top w:val="none" w:sz="0" w:space="0" w:color="auto"/>
        <w:left w:val="none" w:sz="0" w:space="0" w:color="auto"/>
        <w:bottom w:val="none" w:sz="0" w:space="0" w:color="auto"/>
        <w:right w:val="none" w:sz="0" w:space="0" w:color="auto"/>
      </w:divBdr>
    </w:div>
    <w:div w:id="1872644724">
      <w:bodyDiv w:val="1"/>
      <w:marLeft w:val="0"/>
      <w:marRight w:val="0"/>
      <w:marTop w:val="0"/>
      <w:marBottom w:val="0"/>
      <w:divBdr>
        <w:top w:val="none" w:sz="0" w:space="0" w:color="auto"/>
        <w:left w:val="none" w:sz="0" w:space="0" w:color="auto"/>
        <w:bottom w:val="none" w:sz="0" w:space="0" w:color="auto"/>
        <w:right w:val="none" w:sz="0" w:space="0" w:color="auto"/>
      </w:divBdr>
    </w:div>
    <w:div w:id="1975670834">
      <w:bodyDiv w:val="1"/>
      <w:marLeft w:val="0"/>
      <w:marRight w:val="0"/>
      <w:marTop w:val="0"/>
      <w:marBottom w:val="0"/>
      <w:divBdr>
        <w:top w:val="none" w:sz="0" w:space="0" w:color="auto"/>
        <w:left w:val="none" w:sz="0" w:space="0" w:color="auto"/>
        <w:bottom w:val="none" w:sz="0" w:space="0" w:color="auto"/>
        <w:right w:val="none" w:sz="0" w:space="0" w:color="auto"/>
      </w:divBdr>
    </w:div>
    <w:div w:id="2010213291">
      <w:bodyDiv w:val="1"/>
      <w:marLeft w:val="0"/>
      <w:marRight w:val="0"/>
      <w:marTop w:val="0"/>
      <w:marBottom w:val="0"/>
      <w:divBdr>
        <w:top w:val="none" w:sz="0" w:space="0" w:color="auto"/>
        <w:left w:val="none" w:sz="0" w:space="0" w:color="auto"/>
        <w:bottom w:val="none" w:sz="0" w:space="0" w:color="auto"/>
        <w:right w:val="none" w:sz="0" w:space="0" w:color="auto"/>
      </w:divBdr>
    </w:div>
    <w:div w:id="20579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2623</Words>
  <Characters>14167</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Duchovny Boruchovitch</dc:creator>
  <cp:lastModifiedBy>Adriana Rocha Sales</cp:lastModifiedBy>
  <cp:revision>2</cp:revision>
  <cp:lastPrinted>2017-10-26T18:48:00Z</cp:lastPrinted>
  <dcterms:created xsi:type="dcterms:W3CDTF">2017-11-06T17:00:00Z</dcterms:created>
  <dcterms:modified xsi:type="dcterms:W3CDTF">2017-11-06T17:00:00Z</dcterms:modified>
</cp:coreProperties>
</file>