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856C4C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6C4C" w:rsidRPr="006F06F0" w:rsidRDefault="00856C4C" w:rsidP="0059499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C4C" w:rsidRPr="006F06F0" w:rsidRDefault="00856C4C" w:rsidP="0059499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56C4C" w:rsidRPr="009114C8" w:rsidRDefault="002E32AD" w:rsidP="002E2FA0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Redução </w:t>
            </w:r>
            <w:r w:rsidR="00856C4C">
              <w:rPr>
                <w:rFonts w:ascii="Times New Roman" w:hAnsi="Times New Roman"/>
                <w:szCs w:val="22"/>
              </w:rPr>
              <w:t>de base de cálculo prevista no artigo 8°, II, do Decreto n° 44.418/13 às operações sujeitas ao regime de Substituição Tributária.</w:t>
            </w:r>
            <w:r w:rsidR="00C11C09">
              <w:rPr>
                <w:rFonts w:ascii="Times New Roman" w:hAnsi="Times New Roman"/>
                <w:szCs w:val="22"/>
              </w:rPr>
              <w:t xml:space="preserve"> </w:t>
            </w:r>
            <w:r w:rsidR="00C11C09" w:rsidRPr="00C11C09">
              <w:rPr>
                <w:rFonts w:ascii="Times New Roman" w:hAnsi="Times New Roman"/>
                <w:szCs w:val="22"/>
              </w:rPr>
              <w:t>A REDUÇÃO DE BASE DE CÁLCULO PREVISTA NO INCISO II DO ARTIGO 8° DO DECRETO N° 44.418/2013 NÃO SE APLICA AO IMPOSTO RETIDO POR SUBSTITUIÇÃO TRIBUTÁRIA E TAMPOUCO A TODA A CADEIA DE CIRCULAÇÃO DA MERCADORIA, MAS SIM APENAS AO IMPOSTO DEVIDO NAS OPERAÇÕES PRÓPRIAS DOS ESTABELECIMENTOS LISTADOS NOS INCISOS II, III E IV DO ARTIGO 2° DO DECRETO N° 44.418/2013</w:t>
            </w:r>
            <w:r w:rsidR="00C11C09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1D30E3" w:rsidRDefault="00D47680" w:rsidP="00467517">
            <w:pPr>
              <w:pStyle w:val="Ttulo2"/>
              <w:ind w:right="-852"/>
              <w:rPr>
                <w:rFonts w:ascii="Times New Roman" w:hAnsi="Times New Roman"/>
                <w:sz w:val="1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5A3FB1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26"/>
                <w:szCs w:val="22"/>
              </w:rPr>
            </w:pPr>
          </w:p>
          <w:p w:rsidR="00D47680" w:rsidRPr="005A3FB1" w:rsidRDefault="00D47680" w:rsidP="00E774D8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5A3FB1">
              <w:rPr>
                <w:rFonts w:ascii="Times New Roman" w:hAnsi="Times New Roman"/>
                <w:szCs w:val="22"/>
              </w:rPr>
              <w:t>Consulta nº</w:t>
            </w:r>
            <w:proofErr w:type="gramStart"/>
            <w:r w:rsidRPr="005A3FB1">
              <w:rPr>
                <w:rFonts w:ascii="Times New Roman" w:hAnsi="Times New Roman"/>
                <w:szCs w:val="22"/>
              </w:rPr>
              <w:t xml:space="preserve">    </w:t>
            </w:r>
            <w:proofErr w:type="gramEnd"/>
            <w:r w:rsidR="00E774D8">
              <w:rPr>
                <w:rFonts w:ascii="Times New Roman" w:hAnsi="Times New Roman"/>
                <w:szCs w:val="22"/>
              </w:rPr>
              <w:t>119</w:t>
            </w:r>
            <w:r w:rsidRPr="005A3FB1">
              <w:rPr>
                <w:rFonts w:ascii="Times New Roman" w:hAnsi="Times New Roman"/>
                <w:szCs w:val="22"/>
              </w:rPr>
              <w:t xml:space="preserve">  /2016</w:t>
            </w:r>
          </w:p>
        </w:tc>
      </w:tr>
    </w:tbl>
    <w:p w:rsidR="0044157F" w:rsidRPr="00C11C09" w:rsidRDefault="0044157F" w:rsidP="005A3FB1">
      <w:pPr>
        <w:pStyle w:val="Corpodetexto"/>
        <w:spacing w:line="360" w:lineRule="auto"/>
        <w:ind w:right="-1" w:firstLine="709"/>
        <w:jc w:val="center"/>
        <w:rPr>
          <w:b/>
          <w:sz w:val="18"/>
          <w:szCs w:val="22"/>
        </w:rPr>
      </w:pPr>
    </w:p>
    <w:p w:rsidR="003C74CE" w:rsidRPr="00C11C09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C11C09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4"/>
        </w:rPr>
      </w:pPr>
    </w:p>
    <w:p w:rsidR="00C51E74" w:rsidRPr="008D0CD7" w:rsidRDefault="00C51E74" w:rsidP="00C51E74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vem solicitar </w:t>
      </w:r>
      <w:r w:rsidRPr="00084116">
        <w:rPr>
          <w:b/>
          <w:sz w:val="22"/>
          <w:szCs w:val="22"/>
        </w:rPr>
        <w:t xml:space="preserve">o entendimento desta Superintendência de Tributação </w:t>
      </w:r>
      <w:r w:rsidRPr="004F477C">
        <w:rPr>
          <w:b/>
          <w:sz w:val="22"/>
          <w:szCs w:val="22"/>
        </w:rPr>
        <w:t>sobre a aplicação da redução de base de cálculo prevista no artigo 8°, II, do Decreto n° 44.418/13 às operações sujeitas ao regime de substituição tributária</w:t>
      </w:r>
      <w:r w:rsidRPr="003670F1">
        <w:rPr>
          <w:b/>
          <w:sz w:val="22"/>
          <w:szCs w:val="22"/>
        </w:rPr>
        <w:t>.</w:t>
      </w:r>
    </w:p>
    <w:p w:rsidR="00C51E74" w:rsidRDefault="00C51E74" w:rsidP="00C51E74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 w:rsidRPr="004F477C">
        <w:t xml:space="preserve"> </w:t>
      </w:r>
      <w:r w:rsidRPr="004F477C">
        <w:rPr>
          <w:sz w:val="22"/>
          <w:szCs w:val="22"/>
        </w:rPr>
        <w:t>cópias reprográficas que comprovam a habilitação do signatário da petição inicial (fls. 19/27)</w:t>
      </w:r>
      <w:r>
        <w:rPr>
          <w:sz w:val="22"/>
          <w:szCs w:val="22"/>
        </w:rPr>
        <w:t xml:space="preserve">, </w:t>
      </w:r>
      <w:r w:rsidRPr="008D0CD7">
        <w:rPr>
          <w:sz w:val="22"/>
          <w:szCs w:val="22"/>
        </w:rPr>
        <w:t>bem como</w:t>
      </w:r>
      <w:r w:rsidRPr="003670F1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com</w:t>
      </w:r>
      <w:r w:rsidRPr="004F477C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>s</w:t>
      </w:r>
      <w:r w:rsidRPr="008D0CD7">
        <w:rPr>
          <w:sz w:val="22"/>
          <w:szCs w:val="22"/>
        </w:rPr>
        <w:t xml:space="preserve">. </w:t>
      </w:r>
      <w:r>
        <w:rPr>
          <w:sz w:val="22"/>
          <w:szCs w:val="22"/>
        </w:rPr>
        <w:t>29/30). Anexa a consulente, ainda, cópia da resposta de Consulta n° 57/2015 (fls. 32/33) proferida nos autos do processo administrativo E-04/023/2151/2014.</w:t>
      </w:r>
    </w:p>
    <w:p w:rsidR="00C51E74" w:rsidRDefault="00C51E74" w:rsidP="00C51E74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Em primeira análise por parte desta CCJT, constatou-se a necessidade </w:t>
      </w:r>
      <w:r w:rsidRPr="00C51E74">
        <w:rPr>
          <w:sz w:val="22"/>
          <w:szCs w:val="22"/>
        </w:rPr>
        <w:t>de informação da AFE 05 se foi iniciada e ainda não concluída alguma fiscalização junto ao consulente, conforme determina o inciso I do artigo 3° da Resolução nº 109/76, além de informar se a consulente sofreu alguma autuação, ainda pendente de decisão final, cujo fundamento esteja direta ou indiretamente relacionado às dúvidas suscitadas, conforme determina o inciso II do artigo 3° da Resolução nº 109/76.</w:t>
      </w:r>
    </w:p>
    <w:p w:rsidR="00C51E74" w:rsidRPr="00412522" w:rsidRDefault="00C51E74" w:rsidP="00C51E74">
      <w:pPr>
        <w:pStyle w:val="Corpodetexto"/>
        <w:spacing w:line="360" w:lineRule="auto"/>
        <w:ind w:right="-1" w:firstLine="709"/>
        <w:jc w:val="both"/>
        <w:rPr>
          <w:sz w:val="2"/>
          <w:szCs w:val="22"/>
        </w:rPr>
      </w:pPr>
    </w:p>
    <w:p w:rsidR="00C51E74" w:rsidRPr="00412522" w:rsidRDefault="00C51E74" w:rsidP="00C51E74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412522">
        <w:rPr>
          <w:rFonts w:ascii="Times New Roman" w:eastAsia="Times New Roman" w:hAnsi="Times New Roman" w:cs="Times New Roman"/>
          <w:b/>
          <w:sz w:val="20"/>
          <w:u w:val="single"/>
        </w:rPr>
        <w:t>Resolução nº 109/76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:</w:t>
      </w:r>
    </w:p>
    <w:p w:rsidR="00C51E74" w:rsidRPr="00464744" w:rsidRDefault="00C51E74" w:rsidP="00C51E74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sz w:val="20"/>
        </w:rPr>
      </w:pPr>
      <w:r w:rsidRPr="00464744">
        <w:rPr>
          <w:rFonts w:ascii="Times New Roman" w:eastAsia="Times New Roman" w:hAnsi="Times New Roman" w:cs="Times New Roman"/>
          <w:sz w:val="20"/>
        </w:rPr>
        <w:t xml:space="preserve">Art. 3º Recebida </w:t>
      </w:r>
      <w:proofErr w:type="gramStart"/>
      <w:r w:rsidRPr="00464744">
        <w:rPr>
          <w:rFonts w:ascii="Times New Roman" w:eastAsia="Times New Roman" w:hAnsi="Times New Roman" w:cs="Times New Roman"/>
          <w:sz w:val="20"/>
        </w:rPr>
        <w:t>a</w:t>
      </w:r>
      <w:proofErr w:type="gramEnd"/>
      <w:r w:rsidRPr="00464744">
        <w:rPr>
          <w:rFonts w:ascii="Times New Roman" w:eastAsia="Times New Roman" w:hAnsi="Times New Roman" w:cs="Times New Roman"/>
          <w:sz w:val="20"/>
        </w:rPr>
        <w:t xml:space="preserve"> consulta, autoridade fiscal determinará sua autuação sob a forma de Processo administrativo Tributário e informará:</w:t>
      </w:r>
    </w:p>
    <w:p w:rsidR="00C51E74" w:rsidRPr="00464744" w:rsidRDefault="00C51E74" w:rsidP="00C51E74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 – se foi iniciada e ainda não concluída alguma fiscalização junto ao consulente;</w:t>
      </w:r>
    </w:p>
    <w:p w:rsidR="00C51E74" w:rsidRPr="00464744" w:rsidRDefault="00C51E74" w:rsidP="00C51E74">
      <w:pPr>
        <w:spacing w:after="0" w:line="240" w:lineRule="auto"/>
        <w:ind w:left="1701" w:right="70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II</w:t>
      </w:r>
      <w:r w:rsidRPr="00464744"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</w:rPr>
        <w:t>se o consulente sofreu alguma autuação, ainda pendente de decisão final cujo fundamento esteja direta ou indiretamente relacionado às dúvidas suscitadas, juntando-se ao processo de consulta, em caso positivo, uma cópia do respectivo auto de infração</w:t>
      </w:r>
      <w:r w:rsidRPr="00464744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1E74" w:rsidRPr="00C51E74" w:rsidRDefault="00C51E74" w:rsidP="00C51E74">
      <w:pPr>
        <w:pStyle w:val="Corpodetexto"/>
        <w:spacing w:line="360" w:lineRule="auto"/>
        <w:ind w:right="-1"/>
        <w:jc w:val="both"/>
        <w:rPr>
          <w:sz w:val="6"/>
          <w:szCs w:val="22"/>
        </w:rPr>
      </w:pPr>
    </w:p>
    <w:p w:rsidR="00282264" w:rsidRDefault="00FF5E0E" w:rsidP="006343D4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Nesse ponto, destacamos que e</w:t>
      </w:r>
      <w:r w:rsidR="006343D4">
        <w:rPr>
          <w:sz w:val="22"/>
          <w:szCs w:val="22"/>
        </w:rPr>
        <w:t xml:space="preserve">sta </w:t>
      </w:r>
      <w:r>
        <w:rPr>
          <w:sz w:val="22"/>
          <w:szCs w:val="22"/>
        </w:rPr>
        <w:t xml:space="preserve">solução de </w:t>
      </w:r>
      <w:r w:rsidR="006343D4">
        <w:rPr>
          <w:sz w:val="22"/>
          <w:szCs w:val="22"/>
        </w:rPr>
        <w:t>consulta somente produzirá os efeitos que lhe são próprios</w:t>
      </w:r>
      <w:r>
        <w:rPr>
          <w:sz w:val="22"/>
          <w:szCs w:val="22"/>
        </w:rPr>
        <w:t xml:space="preserve"> caso </w:t>
      </w:r>
      <w:r w:rsidRPr="00FF5E0E">
        <w:rPr>
          <w:sz w:val="22"/>
          <w:szCs w:val="22"/>
        </w:rPr>
        <w:t>não tenha havido autuação, ainda pendente de decisão final cujo fundamento esteja direta ou indiretamente relacionado às dúvidas suscitadas</w:t>
      </w:r>
      <w:r>
        <w:rPr>
          <w:sz w:val="22"/>
          <w:szCs w:val="22"/>
        </w:rPr>
        <w:t>, c</w:t>
      </w:r>
      <w:r w:rsidR="00282264">
        <w:rPr>
          <w:sz w:val="22"/>
          <w:szCs w:val="22"/>
        </w:rPr>
        <w:t xml:space="preserve">onsiderando não terem sido observados os procedimentos próprios à resposta de consulta, nos termos do inciso II do artigo 3° da Resolução n° </w:t>
      </w:r>
      <w:r w:rsidR="00282264">
        <w:rPr>
          <w:sz w:val="22"/>
          <w:szCs w:val="22"/>
        </w:rPr>
        <w:lastRenderedPageBreak/>
        <w:t>109/76, o qual, contrariamente ao que foi sustentado às fls. 46/47, não se encontra revogad</w:t>
      </w:r>
      <w:r>
        <w:rPr>
          <w:sz w:val="22"/>
          <w:szCs w:val="22"/>
        </w:rPr>
        <w:t>o</w:t>
      </w:r>
      <w:r w:rsidR="00282264">
        <w:rPr>
          <w:sz w:val="22"/>
          <w:szCs w:val="22"/>
        </w:rPr>
        <w:t xml:space="preserve"> pelo </w:t>
      </w:r>
      <w:r w:rsidR="00282264" w:rsidRPr="00C11C09">
        <w:rPr>
          <w:sz w:val="22"/>
          <w:szCs w:val="22"/>
        </w:rPr>
        <w:t>Decreto n° 2.473/79 (RPAT</w:t>
      </w:r>
      <w:proofErr w:type="gramStart"/>
      <w:r w:rsidR="00282264" w:rsidRPr="00C11C09">
        <w:rPr>
          <w:sz w:val="22"/>
          <w:szCs w:val="22"/>
        </w:rPr>
        <w:t>)</w:t>
      </w:r>
      <w:proofErr w:type="gramEnd"/>
      <w:r w:rsidR="00282264">
        <w:rPr>
          <w:rStyle w:val="Refdenotaderodap"/>
          <w:sz w:val="22"/>
          <w:szCs w:val="22"/>
        </w:rPr>
        <w:footnoteReference w:id="1"/>
      </w:r>
      <w:r w:rsidR="00282264">
        <w:rPr>
          <w:sz w:val="22"/>
          <w:szCs w:val="22"/>
        </w:rPr>
        <w:t>.</w:t>
      </w:r>
      <w:r w:rsidR="006343D4">
        <w:rPr>
          <w:sz w:val="22"/>
          <w:szCs w:val="22"/>
        </w:rPr>
        <w:t xml:space="preserve"> Isto é, o inciso IV do artigo 165 do RPAT </w:t>
      </w:r>
      <w:r w:rsidR="006343D4" w:rsidRPr="00C11C09">
        <w:rPr>
          <w:sz w:val="22"/>
          <w:szCs w:val="22"/>
        </w:rPr>
        <w:t>não dispôs</w:t>
      </w:r>
      <w:r w:rsidR="006343D4">
        <w:rPr>
          <w:sz w:val="22"/>
          <w:szCs w:val="22"/>
        </w:rPr>
        <w:t xml:space="preserve"> de forma diversa ao referido dispositivo, portanto não o revogou, mas sim estabeleceu normas gerais relativas ao processo de consulta tributária, cujos procedimentos encontram-se regulamentados no referido artigo 3°.</w:t>
      </w:r>
    </w:p>
    <w:p w:rsidR="00FF5E0E" w:rsidRDefault="00FF5E0E" w:rsidP="00FF5E0E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Relativamente à alegação da consulente às fls. 43/44, e</w:t>
      </w:r>
      <w:r w:rsidRPr="00C11C09">
        <w:rPr>
          <w:sz w:val="22"/>
          <w:szCs w:val="22"/>
        </w:rPr>
        <w:t>sclareça-se que as competências desta Coordenação de Consultas Jurídico-Tributárias</w:t>
      </w:r>
      <w:r>
        <w:rPr>
          <w:sz w:val="22"/>
          <w:szCs w:val="22"/>
        </w:rPr>
        <w:t xml:space="preserve"> (CCJT), bem como as desta Superintendência de Tributação estão previstas no inciso V do artigo 6</w:t>
      </w:r>
      <w:r w:rsidRPr="00D92D35">
        <w:rPr>
          <w:sz w:val="22"/>
          <w:szCs w:val="22"/>
        </w:rPr>
        <w:t>ºA do Decreto n.º 40.613</w:t>
      </w:r>
      <w:r>
        <w:rPr>
          <w:sz w:val="22"/>
          <w:szCs w:val="22"/>
        </w:rPr>
        <w:t xml:space="preserve">/07, o qual não estabelece atividades de cunho fiscalizatório e tampouco de </w:t>
      </w:r>
      <w:r w:rsidRPr="00C21829">
        <w:rPr>
          <w:sz w:val="22"/>
          <w:szCs w:val="22"/>
        </w:rPr>
        <w:t xml:space="preserve">autuação </w:t>
      </w:r>
      <w:r>
        <w:rPr>
          <w:sz w:val="22"/>
          <w:szCs w:val="22"/>
        </w:rPr>
        <w:t>de consultas jurídico-tributárias</w:t>
      </w:r>
      <w:r w:rsidRPr="00C21829">
        <w:rPr>
          <w:sz w:val="22"/>
          <w:szCs w:val="22"/>
        </w:rPr>
        <w:t xml:space="preserve"> sob a forma de processo administrativo tributário</w:t>
      </w:r>
      <w:r>
        <w:rPr>
          <w:sz w:val="22"/>
          <w:szCs w:val="22"/>
        </w:rPr>
        <w:t xml:space="preserve">, sendo apenas lhe atribuído, nesta seara, a incumbência de </w:t>
      </w:r>
      <w:r w:rsidRPr="00C21829">
        <w:rPr>
          <w:sz w:val="22"/>
          <w:szCs w:val="22"/>
        </w:rPr>
        <w:t xml:space="preserve">dar interpretação </w:t>
      </w:r>
      <w:r>
        <w:rPr>
          <w:sz w:val="22"/>
          <w:szCs w:val="22"/>
        </w:rPr>
        <w:t>à</w:t>
      </w:r>
      <w:r w:rsidRPr="00C21829">
        <w:rPr>
          <w:sz w:val="22"/>
          <w:szCs w:val="22"/>
        </w:rPr>
        <w:t xml:space="preserve"> legislação tributária em geral, mediante a elaboração de ato e parecer</w:t>
      </w:r>
      <w:r>
        <w:rPr>
          <w:sz w:val="22"/>
          <w:szCs w:val="22"/>
        </w:rPr>
        <w:t>.</w:t>
      </w:r>
    </w:p>
    <w:p w:rsidR="00FF5E0E" w:rsidRDefault="00FF5E0E" w:rsidP="00FF5E0E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Corrobora com o este entendimento a leitura conjunta do disposto no </w:t>
      </w:r>
      <w:r>
        <w:rPr>
          <w:i/>
          <w:sz w:val="22"/>
          <w:szCs w:val="22"/>
        </w:rPr>
        <w:t xml:space="preserve">caput </w:t>
      </w:r>
      <w:r>
        <w:rPr>
          <w:sz w:val="22"/>
          <w:szCs w:val="22"/>
        </w:rPr>
        <w:t xml:space="preserve">do artigo 151 do Decreto n° </w:t>
      </w:r>
      <w:r w:rsidRPr="00C21829">
        <w:rPr>
          <w:sz w:val="22"/>
          <w:szCs w:val="22"/>
        </w:rPr>
        <w:t>2.473/79</w:t>
      </w:r>
      <w:r>
        <w:rPr>
          <w:sz w:val="22"/>
          <w:szCs w:val="22"/>
        </w:rPr>
        <w:t xml:space="preserve"> (RPAT) e no </w:t>
      </w:r>
      <w:r w:rsidRPr="00CF3F08"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do </w:t>
      </w:r>
      <w:r w:rsidRPr="00CF3F08">
        <w:rPr>
          <w:sz w:val="22"/>
          <w:szCs w:val="22"/>
        </w:rPr>
        <w:t>artigo</w:t>
      </w:r>
      <w:r>
        <w:rPr>
          <w:sz w:val="22"/>
          <w:szCs w:val="22"/>
        </w:rPr>
        <w:t xml:space="preserve"> 3° da Resolução</w:t>
      </w:r>
      <w:r w:rsidRPr="00CF3F08">
        <w:rPr>
          <w:sz w:val="22"/>
          <w:szCs w:val="22"/>
        </w:rPr>
        <w:t xml:space="preserve"> </w:t>
      </w:r>
      <w:r w:rsidRPr="00C51E74">
        <w:rPr>
          <w:sz w:val="22"/>
          <w:szCs w:val="22"/>
        </w:rPr>
        <w:t>nº 109/76</w:t>
      </w:r>
      <w:r>
        <w:rPr>
          <w:sz w:val="22"/>
          <w:szCs w:val="22"/>
        </w:rPr>
        <w:t xml:space="preserve">, segundo os quais </w:t>
      </w:r>
      <w:proofErr w:type="gramStart"/>
      <w:r>
        <w:rPr>
          <w:sz w:val="22"/>
          <w:szCs w:val="22"/>
        </w:rPr>
        <w:t>a repartição fiscal a que estiver jurisdicionado</w:t>
      </w:r>
      <w:proofErr w:type="gramEnd"/>
      <w:r>
        <w:rPr>
          <w:sz w:val="22"/>
          <w:szCs w:val="22"/>
        </w:rPr>
        <w:t xml:space="preserve"> o consulente deverá realizar os procedimentos descritos no referido artigo 3°.</w:t>
      </w:r>
      <w:r w:rsidRPr="00C11C09">
        <w:t xml:space="preserve"> </w:t>
      </w:r>
      <w:r w:rsidRPr="00C11C09">
        <w:rPr>
          <w:sz w:val="22"/>
          <w:szCs w:val="22"/>
        </w:rPr>
        <w:t>Essas informações quando fornecidas pelo próprio contribuinte, como consta da fl</w:t>
      </w:r>
      <w:r>
        <w:rPr>
          <w:sz w:val="22"/>
          <w:szCs w:val="22"/>
        </w:rPr>
        <w:t>s</w:t>
      </w:r>
      <w:r w:rsidRPr="00C11C09">
        <w:rPr>
          <w:sz w:val="22"/>
          <w:szCs w:val="22"/>
        </w:rPr>
        <w:t>.</w:t>
      </w:r>
      <w:r>
        <w:rPr>
          <w:sz w:val="22"/>
          <w:szCs w:val="22"/>
        </w:rPr>
        <w:t xml:space="preserve"> 3/4 e 43</w:t>
      </w:r>
      <w:r w:rsidRPr="00C11C09">
        <w:rPr>
          <w:sz w:val="22"/>
          <w:szCs w:val="22"/>
        </w:rPr>
        <w:t xml:space="preserve"> do presente, são inócuas e não suprem a manifestação fiscal, estando em desacordo com o comando legislativo.</w:t>
      </w:r>
    </w:p>
    <w:p w:rsidR="00FF5E0E" w:rsidRPr="00C11C09" w:rsidRDefault="00FF5E0E" w:rsidP="00FF5E0E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Além disso, não cabe a discussão sobre os sistemas internos desta Pasta ao público externo</w:t>
      </w:r>
      <w:r>
        <w:rPr>
          <w:rStyle w:val="Refdenotaderodap"/>
          <w:sz w:val="22"/>
          <w:szCs w:val="22"/>
        </w:rPr>
        <w:footnoteReference w:id="2"/>
      </w:r>
      <w:r>
        <w:rPr>
          <w:sz w:val="22"/>
          <w:szCs w:val="22"/>
        </w:rPr>
        <w:t xml:space="preserve"> desta Secretaria de Estado de Fazenda, tendo em vista tratar-se de questão de organização </w:t>
      </w:r>
      <w:r w:rsidRPr="00C11C09">
        <w:rPr>
          <w:sz w:val="22"/>
          <w:szCs w:val="22"/>
        </w:rPr>
        <w:t>administrativa interna, razão pela qual não será abordada neste processo administrativo.</w:t>
      </w:r>
    </w:p>
    <w:p w:rsidR="00B52C74" w:rsidRDefault="00C11C09" w:rsidP="00D51AD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Superados esses pontos, adentrando-se na matéria objeto de</w:t>
      </w:r>
      <w:r w:rsidR="00D51ADA">
        <w:rPr>
          <w:sz w:val="22"/>
          <w:szCs w:val="22"/>
        </w:rPr>
        <w:t xml:space="preserve"> consulta, a consulente alega</w:t>
      </w:r>
      <w:r w:rsidR="00DA2FFE">
        <w:rPr>
          <w:sz w:val="22"/>
          <w:szCs w:val="22"/>
        </w:rPr>
        <w:t xml:space="preserve"> que “</w:t>
      </w:r>
      <w:r w:rsidR="00DA2FFE" w:rsidRPr="00867489">
        <w:rPr>
          <w:b/>
          <w:i/>
          <w:sz w:val="22"/>
          <w:szCs w:val="22"/>
          <w:u w:val="single"/>
        </w:rPr>
        <w:t xml:space="preserve">há, portanto, um claro contraponto entre o inciso II e os demais incisos do artigo 8° do Decreto n° 44.418/2013. Enquanto o inciso II estabelece que as saídas internas dos produtos </w:t>
      </w:r>
      <w:proofErr w:type="gramStart"/>
      <w:r w:rsidR="00DA2FFE" w:rsidRPr="00867489">
        <w:rPr>
          <w:b/>
          <w:i/>
          <w:sz w:val="22"/>
          <w:szCs w:val="22"/>
          <w:u w:val="single"/>
        </w:rPr>
        <w:t>estão</w:t>
      </w:r>
      <w:proofErr w:type="gramEnd"/>
      <w:r w:rsidR="00DA2FFE" w:rsidRPr="00867489">
        <w:rPr>
          <w:b/>
          <w:i/>
          <w:sz w:val="22"/>
          <w:szCs w:val="22"/>
          <w:u w:val="single"/>
        </w:rPr>
        <w:t xml:space="preserve"> beneficiadas pela redução da base de cálculo (de forma global)</w:t>
      </w:r>
      <w:r w:rsidR="00DA2FFE" w:rsidRPr="00867489">
        <w:rPr>
          <w:i/>
          <w:sz w:val="22"/>
          <w:szCs w:val="22"/>
          <w:u w:val="single"/>
        </w:rPr>
        <w:t xml:space="preserve">, sem restringir (aplicação do benefício fiscal em qualquer operação) qual seria </w:t>
      </w:r>
      <w:r w:rsidR="00867489" w:rsidRPr="00867489">
        <w:rPr>
          <w:i/>
          <w:sz w:val="22"/>
          <w:szCs w:val="22"/>
          <w:u w:val="single"/>
        </w:rPr>
        <w:t>o remetente ou o destinatário da operação beneficiada</w:t>
      </w:r>
      <w:r w:rsidR="00867489">
        <w:rPr>
          <w:i/>
          <w:sz w:val="22"/>
          <w:szCs w:val="22"/>
        </w:rPr>
        <w:t>, os demais</w:t>
      </w:r>
      <w:r w:rsidR="00DA2FFE">
        <w:rPr>
          <w:i/>
          <w:sz w:val="22"/>
          <w:szCs w:val="22"/>
        </w:rPr>
        <w:t xml:space="preserve"> </w:t>
      </w:r>
      <w:r w:rsidR="00867489">
        <w:rPr>
          <w:i/>
          <w:sz w:val="22"/>
          <w:szCs w:val="22"/>
        </w:rPr>
        <w:t>incisos deixam claro que o benefício só se aplica às operações que possuam destinatários/remetentes específicos (de forma restrita)</w:t>
      </w:r>
      <w:r w:rsidR="00DA2FFE">
        <w:rPr>
          <w:sz w:val="22"/>
          <w:szCs w:val="22"/>
        </w:rPr>
        <w:t>”</w:t>
      </w:r>
      <w:r w:rsidR="00B52C74">
        <w:rPr>
          <w:sz w:val="22"/>
          <w:szCs w:val="22"/>
        </w:rPr>
        <w:t>.</w:t>
      </w:r>
    </w:p>
    <w:p w:rsidR="00867489" w:rsidRDefault="00867489" w:rsidP="00D51AD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Ainda, afirma que “</w:t>
      </w:r>
      <w:r>
        <w:rPr>
          <w:i/>
          <w:sz w:val="22"/>
          <w:szCs w:val="22"/>
        </w:rPr>
        <w:t xml:space="preserve">desta forma, tendo em vista que todas as operações de saída internas do produto estariam beneficiadas pela redução de base de cálculo, decerto que este entendimento </w:t>
      </w:r>
      <w:r>
        <w:rPr>
          <w:i/>
          <w:sz w:val="22"/>
          <w:szCs w:val="22"/>
        </w:rPr>
        <w:lastRenderedPageBreak/>
        <w:t>também engloba as operações compreendidas no regime de substituição tributária</w:t>
      </w:r>
      <w:r>
        <w:rPr>
          <w:sz w:val="22"/>
          <w:szCs w:val="22"/>
        </w:rPr>
        <w:t>”.</w:t>
      </w:r>
    </w:p>
    <w:p w:rsidR="00867489" w:rsidRDefault="00867489" w:rsidP="00D51AD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Além disso, assevera que “</w:t>
      </w:r>
      <w:r>
        <w:rPr>
          <w:i/>
          <w:sz w:val="22"/>
          <w:szCs w:val="22"/>
        </w:rPr>
        <w:t>torna-se necessário destacar que o entendimento apresentado nesta Consulta foi, no nosso ponto de vista, corretamente aplicado recentemente por essa Superintendência de Tributação (SUT) através da Solução de Consulta n° 057/2015 (Doc. 05), relativa a benefício fiscal que, assim como o Decreto n° 44.418/2013</w:t>
      </w:r>
      <w:r w:rsidR="000A09DE">
        <w:rPr>
          <w:i/>
          <w:sz w:val="22"/>
          <w:szCs w:val="22"/>
        </w:rPr>
        <w:t>, concede redução de base de cálculo às saídas internas de determinado produto produzido por determinado setor empresarial no Estado do Rio de Janeiro</w:t>
      </w:r>
      <w:r>
        <w:rPr>
          <w:sz w:val="22"/>
          <w:szCs w:val="22"/>
        </w:rPr>
        <w:t>”.</w:t>
      </w:r>
    </w:p>
    <w:p w:rsidR="00B52C74" w:rsidRPr="00C46AEA" w:rsidRDefault="00B52C74" w:rsidP="00B52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8"/>
        </w:rPr>
      </w:pPr>
    </w:p>
    <w:p w:rsidR="00B52C74" w:rsidRPr="004136EA" w:rsidRDefault="00B52C74" w:rsidP="00B52C74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766BFF" w:rsidRPr="000A09DE" w:rsidRDefault="000A09DE" w:rsidP="00263ECC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0A09DE">
        <w:rPr>
          <w:i/>
          <w:sz w:val="22"/>
          <w:szCs w:val="22"/>
        </w:rPr>
        <w:t xml:space="preserve">Se a </w:t>
      </w:r>
      <w:r w:rsidR="00766BFF" w:rsidRPr="000A09DE">
        <w:rPr>
          <w:i/>
          <w:sz w:val="22"/>
          <w:szCs w:val="22"/>
        </w:rPr>
        <w:t>consulente</w:t>
      </w:r>
      <w:r>
        <w:rPr>
          <w:i/>
          <w:sz w:val="22"/>
          <w:szCs w:val="22"/>
        </w:rPr>
        <w:t>, caso opte pela utilização do regime especial previsto no Decreto n° 44.418/2013</w:t>
      </w:r>
      <w:r w:rsidR="000A475F">
        <w:rPr>
          <w:i/>
          <w:sz w:val="22"/>
          <w:szCs w:val="22"/>
        </w:rPr>
        <w:t>, deve aplicar a redução de base de cálculo, prevista no artigo 8°, II do Decreto n° 44.418/2013, às operações de saída interna das mercadorias referidas, abarcadas pelo regime de substituição tributária</w:t>
      </w:r>
      <w:r w:rsidR="00263ECC" w:rsidRPr="000A09DE">
        <w:rPr>
          <w:i/>
          <w:sz w:val="22"/>
          <w:szCs w:val="22"/>
        </w:rPr>
        <w:t>?</w:t>
      </w:r>
    </w:p>
    <w:p w:rsidR="0044157F" w:rsidRPr="00BD70D0" w:rsidRDefault="0044157F" w:rsidP="0063619B">
      <w:pPr>
        <w:pStyle w:val="Corpodetexto"/>
        <w:spacing w:line="360" w:lineRule="auto"/>
        <w:ind w:firstLine="709"/>
        <w:jc w:val="both"/>
        <w:rPr>
          <w:sz w:val="22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BD70D0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</w:rPr>
      </w:pPr>
    </w:p>
    <w:p w:rsidR="002519DC" w:rsidRDefault="002519DC" w:rsidP="002519D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86952">
        <w:rPr>
          <w:rFonts w:ascii="Times New Roman" w:hAnsi="Times New Roman" w:cs="Times New Roman"/>
        </w:rPr>
        <w:t xml:space="preserve">Preliminarmente, </w:t>
      </w:r>
      <w:r w:rsidR="000E0981">
        <w:rPr>
          <w:rFonts w:ascii="Times New Roman" w:hAnsi="Times New Roman" w:cs="Times New Roman"/>
        </w:rPr>
        <w:t>registre-se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que o objetivo das soluções de consulta</w:t>
      </w:r>
      <w:r>
        <w:rPr>
          <w:rFonts w:ascii="Times New Roman" w:hAnsi="Times New Roman" w:cs="Times New Roman"/>
        </w:rPr>
        <w:t xml:space="preserve"> tributária</w:t>
      </w:r>
      <w:r w:rsidRPr="00386952">
        <w:rPr>
          <w:rFonts w:ascii="Times New Roman" w:hAnsi="Times New Roman" w:cs="Times New Roman"/>
        </w:rPr>
        <w:t xml:space="preserve"> é esclarecer questões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objetivas formuladas pelos consulentes acerca da interpretação de dispositivos específicos da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legislação tributária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 xml:space="preserve">no âmbito da </w:t>
      </w:r>
      <w:r>
        <w:rPr>
          <w:rFonts w:ascii="Times New Roman" w:hAnsi="Times New Roman" w:cs="Times New Roman"/>
        </w:rPr>
        <w:t>Secretaria de Fazenda do Estado do Rio de Janeiro,</w:t>
      </w:r>
      <w:r w:rsidR="00725031">
        <w:rPr>
          <w:rFonts w:ascii="Times New Roman" w:hAnsi="Times New Roman" w:cs="Times New Roman"/>
        </w:rPr>
        <w:t xml:space="preserve"> e que a</w:t>
      </w:r>
      <w:r w:rsidRPr="00386952">
        <w:rPr>
          <w:rFonts w:ascii="Times New Roman" w:hAnsi="Times New Roman" w:cs="Times New Roman"/>
        </w:rPr>
        <w:t>s soluções de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consulta não convalidam informações, interpretações, ações ou omissões</w:t>
      </w:r>
      <w:r>
        <w:rPr>
          <w:rFonts w:ascii="Times New Roman" w:hAnsi="Times New Roman" w:cs="Times New Roman"/>
        </w:rPr>
        <w:t xml:space="preserve"> </w:t>
      </w:r>
      <w:r w:rsidRPr="00386952">
        <w:rPr>
          <w:rFonts w:ascii="Times New Roman" w:hAnsi="Times New Roman" w:cs="Times New Roman"/>
        </w:rPr>
        <w:t>aduzidas na consulta.</w:t>
      </w:r>
    </w:p>
    <w:p w:rsidR="00AB1C99" w:rsidRDefault="003D13F9" w:rsidP="0072503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</w:t>
      </w:r>
      <w:r w:rsidR="008C6DC0">
        <w:rPr>
          <w:rFonts w:ascii="Times New Roman" w:hAnsi="Times New Roman" w:cs="Times New Roman"/>
        </w:rPr>
        <w:t xml:space="preserve"> ao questionamento apresentado</w:t>
      </w:r>
      <w:bookmarkStart w:id="0" w:name="topo"/>
      <w:r w:rsidR="000E0981">
        <w:rPr>
          <w:rFonts w:ascii="Times New Roman" w:hAnsi="Times New Roman" w:cs="Times New Roman"/>
        </w:rPr>
        <w:t xml:space="preserve">, esclarecemos que </w:t>
      </w:r>
      <w:r w:rsidR="00F95DBD">
        <w:rPr>
          <w:rFonts w:ascii="Times New Roman" w:hAnsi="Times New Roman" w:cs="Times New Roman"/>
        </w:rPr>
        <w:t xml:space="preserve">o disposto no inciso II do artigo 8° do </w:t>
      </w:r>
      <w:r w:rsidR="00F95DBD" w:rsidRPr="00F95DBD">
        <w:rPr>
          <w:rFonts w:ascii="Times New Roman" w:hAnsi="Times New Roman" w:cs="Times New Roman"/>
        </w:rPr>
        <w:t>Decreto n° 44.418/2013</w:t>
      </w:r>
      <w:r w:rsidR="00F95DBD">
        <w:rPr>
          <w:rFonts w:ascii="Times New Roman" w:hAnsi="Times New Roman" w:cs="Times New Roman"/>
        </w:rPr>
        <w:t xml:space="preserve"> somente se aplica às operações realizadas pelos </w:t>
      </w:r>
      <w:r w:rsidR="00F95DBD" w:rsidRPr="00F95DBD">
        <w:rPr>
          <w:rFonts w:ascii="Times New Roman" w:hAnsi="Times New Roman" w:cs="Times New Roman"/>
        </w:rPr>
        <w:t>estabelecimentos referidos nos in</w:t>
      </w:r>
      <w:r w:rsidR="00F95DBD">
        <w:rPr>
          <w:rFonts w:ascii="Times New Roman" w:hAnsi="Times New Roman" w:cs="Times New Roman"/>
        </w:rPr>
        <w:t>cisos II, III e IV do artigo 2°</w:t>
      </w:r>
      <w:r w:rsidR="0041324F">
        <w:rPr>
          <w:rFonts w:ascii="Times New Roman" w:hAnsi="Times New Roman" w:cs="Times New Roman"/>
        </w:rPr>
        <w:t xml:space="preserve"> do mesmo decreto, por constar tal previsão expressamente no dispositivo mencionado</w:t>
      </w:r>
      <w:r w:rsidR="00AB1C99">
        <w:rPr>
          <w:rFonts w:ascii="Times New Roman" w:hAnsi="Times New Roman" w:cs="Times New Roman"/>
        </w:rPr>
        <w:t xml:space="preserve">. </w:t>
      </w:r>
    </w:p>
    <w:p w:rsidR="00725031" w:rsidRDefault="00AB1C99" w:rsidP="0072503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B1C99">
        <w:rPr>
          <w:rFonts w:ascii="Times New Roman" w:hAnsi="Times New Roman" w:cs="Times New Roman"/>
          <w:b/>
          <w:u w:val="single"/>
        </w:rPr>
        <w:t>Tal conclusão é alcançada a partir de uma interpretação literal e restritiva</w:t>
      </w:r>
      <w:r>
        <w:rPr>
          <w:rFonts w:ascii="Times New Roman" w:hAnsi="Times New Roman" w:cs="Times New Roman"/>
        </w:rPr>
        <w:t xml:space="preserve"> do aludido inciso II do artigo 8°, vejamos:</w:t>
      </w:r>
    </w:p>
    <w:p w:rsidR="0041324F" w:rsidRPr="0041324F" w:rsidRDefault="0041324F" w:rsidP="0041324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1324F">
        <w:rPr>
          <w:rFonts w:ascii="Times New Roman" w:hAnsi="Times New Roman" w:cs="Times New Roman"/>
          <w:sz w:val="20"/>
        </w:rPr>
        <w:t>Art. 8.º Fica reduzida a base de cálculo do ICMS na cadeia de produtos plásticos de forma que a carga tributária seja equivalente a 13% (treze por cento) nas seguintes operações:</w:t>
      </w:r>
    </w:p>
    <w:p w:rsidR="0041324F" w:rsidRPr="0041324F" w:rsidRDefault="0041324F" w:rsidP="0041324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1324F">
        <w:rPr>
          <w:rFonts w:ascii="Times New Roman" w:hAnsi="Times New Roman" w:cs="Times New Roman"/>
          <w:sz w:val="20"/>
        </w:rPr>
        <w:t xml:space="preserve">(Caput, do Art. 8.º, alterado pelo Decreto Estadual n.º 45.607/2016, vigente a partir de 22.03.2016, com efeitos a contar de </w:t>
      </w:r>
      <w:proofErr w:type="gramStart"/>
      <w:r w:rsidRPr="0041324F">
        <w:rPr>
          <w:rFonts w:ascii="Times New Roman" w:hAnsi="Times New Roman" w:cs="Times New Roman"/>
          <w:sz w:val="20"/>
        </w:rPr>
        <w:t>28.03.2016)</w:t>
      </w:r>
      <w:proofErr w:type="gramEnd"/>
    </w:p>
    <w:p w:rsidR="0041324F" w:rsidRPr="0041324F" w:rsidRDefault="0041324F" w:rsidP="0041324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1324F">
        <w:rPr>
          <w:rFonts w:ascii="Times New Roman" w:hAnsi="Times New Roman" w:cs="Times New Roman"/>
          <w:sz w:val="20"/>
        </w:rPr>
        <w:t>(...)</w:t>
      </w:r>
    </w:p>
    <w:p w:rsidR="0041324F" w:rsidRDefault="0041324F" w:rsidP="0041324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41324F">
        <w:rPr>
          <w:rFonts w:ascii="Times New Roman" w:hAnsi="Times New Roman" w:cs="Times New Roman"/>
          <w:sz w:val="20"/>
        </w:rPr>
        <w:lastRenderedPageBreak/>
        <w:t xml:space="preserve">II - </w:t>
      </w:r>
      <w:r w:rsidRPr="00AB1C99">
        <w:rPr>
          <w:rFonts w:ascii="Times New Roman" w:hAnsi="Times New Roman" w:cs="Times New Roman"/>
          <w:b/>
          <w:sz w:val="20"/>
          <w:u w:val="single"/>
        </w:rPr>
        <w:t>saída interna</w:t>
      </w:r>
      <w:r w:rsidRPr="0041324F">
        <w:rPr>
          <w:rFonts w:ascii="Times New Roman" w:hAnsi="Times New Roman" w:cs="Times New Roman"/>
          <w:sz w:val="20"/>
        </w:rPr>
        <w:t xml:space="preserve"> de produtos plásticos transformados ou reciclados </w:t>
      </w:r>
      <w:r w:rsidRPr="00AB1C99">
        <w:rPr>
          <w:rFonts w:ascii="Times New Roman" w:hAnsi="Times New Roman" w:cs="Times New Roman"/>
          <w:b/>
          <w:sz w:val="20"/>
          <w:u w:val="single"/>
        </w:rPr>
        <w:t>pelos estabelecimentos referidos nos incisos II, III e IV do artigo 2.º deste Decreto</w:t>
      </w:r>
      <w:r w:rsidRPr="0041324F">
        <w:rPr>
          <w:rFonts w:ascii="Times New Roman" w:hAnsi="Times New Roman" w:cs="Times New Roman"/>
          <w:sz w:val="20"/>
        </w:rPr>
        <w:t>;</w:t>
      </w:r>
      <w:r w:rsidR="00AB1C99">
        <w:rPr>
          <w:rFonts w:ascii="Times New Roman" w:hAnsi="Times New Roman" w:cs="Times New Roman"/>
          <w:sz w:val="20"/>
        </w:rPr>
        <w:t xml:space="preserve"> (grifo nosso</w:t>
      </w:r>
      <w:proofErr w:type="gramStart"/>
      <w:r w:rsidR="00AB1C99">
        <w:rPr>
          <w:rFonts w:ascii="Times New Roman" w:hAnsi="Times New Roman" w:cs="Times New Roman"/>
          <w:sz w:val="20"/>
        </w:rPr>
        <w:t>)</w:t>
      </w:r>
      <w:proofErr w:type="gramEnd"/>
    </w:p>
    <w:p w:rsidR="0041324F" w:rsidRPr="0041324F" w:rsidRDefault="0041324F" w:rsidP="0041324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5511CD" w:rsidRDefault="003D13F9" w:rsidP="005511C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interpretação esposada tem fulcro n</w:t>
      </w:r>
      <w:r w:rsidR="00AD22B7">
        <w:rPr>
          <w:rFonts w:ascii="Times New Roman" w:hAnsi="Times New Roman" w:cs="Times New Roman"/>
        </w:rPr>
        <w:t xml:space="preserve">o disposto no artigo </w:t>
      </w:r>
      <w:r w:rsidR="00AD22B7" w:rsidRPr="00CD24BB">
        <w:rPr>
          <w:rFonts w:ascii="Times New Roman" w:hAnsi="Times New Roman" w:cs="Times New Roman"/>
        </w:rPr>
        <w:t xml:space="preserve">111 do Código Tributário Nacional e </w:t>
      </w:r>
      <w:r>
        <w:rPr>
          <w:rFonts w:ascii="Times New Roman" w:hAnsi="Times New Roman" w:cs="Times New Roman"/>
        </w:rPr>
        <w:t>n</w:t>
      </w:r>
      <w:r w:rsidR="00AD22B7">
        <w:rPr>
          <w:rFonts w:ascii="Times New Roman" w:hAnsi="Times New Roman" w:cs="Times New Roman"/>
        </w:rPr>
        <w:t xml:space="preserve">a </w:t>
      </w:r>
      <w:r w:rsidR="00AD22B7" w:rsidRPr="00CD24BB">
        <w:rPr>
          <w:rFonts w:ascii="Times New Roman" w:hAnsi="Times New Roman" w:cs="Times New Roman"/>
        </w:rPr>
        <w:t>jurisprudência do Superior Tribunal de Justiça (STJ</w:t>
      </w:r>
      <w:proofErr w:type="gramStart"/>
      <w:r w:rsidR="00AD22B7" w:rsidRPr="00CD24BB">
        <w:rPr>
          <w:rFonts w:ascii="Times New Roman" w:hAnsi="Times New Roman" w:cs="Times New Roman"/>
        </w:rPr>
        <w:t>)</w:t>
      </w:r>
      <w:proofErr w:type="gramEnd"/>
      <w:r w:rsidR="005511CD">
        <w:rPr>
          <w:rStyle w:val="Refdenotaderodap"/>
          <w:rFonts w:ascii="Times New Roman" w:hAnsi="Times New Roman" w:cs="Times New Roman"/>
        </w:rPr>
        <w:footnoteReference w:id="3"/>
      </w:r>
      <w:r w:rsidR="00AD22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segundo os quais</w:t>
      </w:r>
      <w:r w:rsidR="00AD22B7">
        <w:rPr>
          <w:rFonts w:ascii="Times New Roman" w:hAnsi="Times New Roman" w:cs="Times New Roman"/>
        </w:rPr>
        <w:t xml:space="preserve"> a </w:t>
      </w:r>
      <w:r w:rsidR="00AD22B7" w:rsidRPr="00CD24BB">
        <w:rPr>
          <w:rFonts w:ascii="Times New Roman" w:hAnsi="Times New Roman" w:cs="Times New Roman"/>
        </w:rPr>
        <w:t xml:space="preserve">interpretação de isenções e </w:t>
      </w:r>
      <w:r w:rsidR="00AD22B7" w:rsidRPr="005511CD">
        <w:rPr>
          <w:rFonts w:ascii="Times New Roman" w:hAnsi="Times New Roman" w:cs="Times New Roman"/>
        </w:rPr>
        <w:t xml:space="preserve">benefícios fiscais deve ser feita de forma </w:t>
      </w:r>
      <w:r w:rsidR="005511CD" w:rsidRPr="005511CD">
        <w:rPr>
          <w:rFonts w:ascii="Times New Roman" w:hAnsi="Times New Roman" w:cs="Times New Roman"/>
          <w:b/>
          <w:u w:val="single"/>
        </w:rPr>
        <w:t>literal</w:t>
      </w:r>
      <w:r w:rsidR="005511CD" w:rsidRPr="005511CD">
        <w:rPr>
          <w:rStyle w:val="Refdenotaderodap"/>
          <w:rFonts w:ascii="Times New Roman" w:hAnsi="Times New Roman" w:cs="Times New Roman"/>
        </w:rPr>
        <w:footnoteReference w:id="4"/>
      </w:r>
      <w:r w:rsidR="005511CD" w:rsidRPr="005511CD">
        <w:rPr>
          <w:rFonts w:ascii="Times New Roman" w:hAnsi="Times New Roman" w:cs="Times New Roman"/>
          <w:b/>
        </w:rPr>
        <w:t xml:space="preserve"> e </w:t>
      </w:r>
      <w:r w:rsidR="005511CD" w:rsidRPr="005511CD">
        <w:rPr>
          <w:rFonts w:ascii="Times New Roman" w:hAnsi="Times New Roman" w:cs="Times New Roman"/>
          <w:b/>
          <w:u w:val="single"/>
        </w:rPr>
        <w:t>restritiva</w:t>
      </w:r>
      <w:r w:rsidR="005511CD" w:rsidRPr="005511CD">
        <w:rPr>
          <w:rStyle w:val="Refdenotaderodap"/>
          <w:rFonts w:ascii="Times New Roman" w:hAnsi="Times New Roman" w:cs="Times New Roman"/>
        </w:rPr>
        <w:footnoteReference w:id="5"/>
      </w:r>
      <w:r w:rsidR="005511CD">
        <w:rPr>
          <w:rFonts w:ascii="Times New Roman" w:hAnsi="Times New Roman" w:cs="Times New Roman"/>
        </w:rPr>
        <w:t xml:space="preserve">, </w:t>
      </w:r>
      <w:r w:rsidR="005511CD" w:rsidRPr="005511CD">
        <w:rPr>
          <w:rFonts w:ascii="Times New Roman" w:hAnsi="Times New Roman" w:cs="Times New Roman"/>
        </w:rPr>
        <w:t xml:space="preserve">conforme se constata do seguinte trecho da </w:t>
      </w:r>
      <w:r w:rsidR="005511CD">
        <w:rPr>
          <w:rFonts w:ascii="Times New Roman" w:hAnsi="Times New Roman" w:cs="Times New Roman"/>
        </w:rPr>
        <w:t xml:space="preserve">ementa </w:t>
      </w:r>
      <w:r w:rsidR="00AB1C99">
        <w:rPr>
          <w:rFonts w:ascii="Times New Roman" w:hAnsi="Times New Roman" w:cs="Times New Roman"/>
        </w:rPr>
        <w:t xml:space="preserve"> do </w:t>
      </w:r>
      <w:proofErr w:type="spellStart"/>
      <w:r w:rsidR="005511CD">
        <w:rPr>
          <w:rFonts w:ascii="Times New Roman" w:hAnsi="Times New Roman" w:cs="Times New Roman"/>
        </w:rPr>
        <w:t>REsp</w:t>
      </w:r>
      <w:proofErr w:type="spellEnd"/>
      <w:r w:rsidR="005511CD">
        <w:rPr>
          <w:rFonts w:ascii="Times New Roman" w:hAnsi="Times New Roman" w:cs="Times New Roman"/>
        </w:rPr>
        <w:t xml:space="preserve"> </w:t>
      </w:r>
      <w:r w:rsidR="00AB1C99">
        <w:rPr>
          <w:rFonts w:ascii="Times New Roman" w:hAnsi="Times New Roman" w:cs="Times New Roman"/>
        </w:rPr>
        <w:t>1212976 RS</w:t>
      </w:r>
      <w:r w:rsidR="005511CD" w:rsidRPr="005511CD">
        <w:rPr>
          <w:rFonts w:ascii="Times New Roman" w:hAnsi="Times New Roman" w:cs="Times New Roman"/>
        </w:rPr>
        <w:t>:</w:t>
      </w:r>
    </w:p>
    <w:p w:rsidR="005511CD" w:rsidRDefault="005511CD" w:rsidP="005511CD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5511CD">
        <w:rPr>
          <w:rFonts w:ascii="Times New Roman" w:hAnsi="Times New Roman" w:cs="Times New Roman"/>
          <w:sz w:val="20"/>
        </w:rPr>
        <w:t xml:space="preserve">3. As normas instituidoras de </w:t>
      </w:r>
      <w:r w:rsidRPr="00AB1C99">
        <w:rPr>
          <w:rFonts w:ascii="Times New Roman" w:hAnsi="Times New Roman" w:cs="Times New Roman"/>
          <w:b/>
          <w:sz w:val="20"/>
          <w:u w:val="single"/>
        </w:rPr>
        <w:t>isenção</w:t>
      </w:r>
      <w:r w:rsidR="00AB1C99">
        <w:rPr>
          <w:rFonts w:ascii="Times New Roman" w:hAnsi="Times New Roman" w:cs="Times New Roman"/>
          <w:sz w:val="20"/>
        </w:rPr>
        <w:t>, nos termos do art. 111 do CTN</w:t>
      </w:r>
      <w:r w:rsidRPr="005511CD">
        <w:rPr>
          <w:rFonts w:ascii="Times New Roman" w:hAnsi="Times New Roman" w:cs="Times New Roman"/>
          <w:sz w:val="20"/>
        </w:rPr>
        <w:t xml:space="preserve">, por preverem exceções ao exercício de competência tributária, estão sujeitas à regra de hermenêutica que determina a </w:t>
      </w:r>
      <w:r w:rsidRPr="00AB1C99">
        <w:rPr>
          <w:rFonts w:ascii="Times New Roman" w:hAnsi="Times New Roman" w:cs="Times New Roman"/>
          <w:b/>
          <w:sz w:val="20"/>
          <w:u w:val="single"/>
        </w:rPr>
        <w:t>interpretação restritiva</w:t>
      </w:r>
      <w:r w:rsidRPr="005511CD">
        <w:rPr>
          <w:rFonts w:ascii="Times New Roman" w:hAnsi="Times New Roman" w:cs="Times New Roman"/>
          <w:sz w:val="20"/>
        </w:rPr>
        <w:t xml:space="preserve"> em decorrência de sua natureza. </w:t>
      </w:r>
      <w:r w:rsidR="00AB1C99">
        <w:rPr>
          <w:rFonts w:ascii="Times New Roman" w:hAnsi="Times New Roman" w:cs="Times New Roman"/>
          <w:sz w:val="20"/>
        </w:rPr>
        <w:t>(grifo nosso)</w:t>
      </w:r>
    </w:p>
    <w:p w:rsidR="005511CD" w:rsidRPr="005511CD" w:rsidRDefault="005511CD" w:rsidP="005511CD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:rsidR="00AB1C99" w:rsidRDefault="00AB1C99" w:rsidP="00AB1C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Nesse sentido, não restam dúvidas quanto à aplicabilidade do dispositivo em questão apenas às saídas promovidas pelos estabelecimentos listados nos </w:t>
      </w:r>
      <w:r w:rsidRPr="00F95DB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cisos II, III e IV do artigo 2° do</w:t>
      </w:r>
      <w:r w:rsidRPr="0041324F">
        <w:rPr>
          <w:rFonts w:ascii="Times New Roman" w:hAnsi="Times New Roman" w:cs="Times New Roman"/>
        </w:rPr>
        <w:t xml:space="preserve"> </w:t>
      </w:r>
      <w:r w:rsidRPr="00F95DBD">
        <w:rPr>
          <w:rFonts w:ascii="Times New Roman" w:hAnsi="Times New Roman" w:cs="Times New Roman"/>
        </w:rPr>
        <w:t>Decreto n° 44.418/2013</w:t>
      </w:r>
      <w:r>
        <w:rPr>
          <w:rFonts w:ascii="Times New Roman" w:hAnsi="Times New Roman" w:cs="Times New Roman"/>
        </w:rPr>
        <w:t>.</w:t>
      </w:r>
    </w:p>
    <w:p w:rsidR="003D13F9" w:rsidRDefault="003D13F9" w:rsidP="00AB1C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Portanto, em resposta à dúvida suscitada</w:t>
      </w:r>
      <w:r w:rsidRPr="003D13F9">
        <w:rPr>
          <w:rFonts w:ascii="Times New Roman" w:hAnsi="Times New Roman" w:cs="Times New Roman"/>
        </w:rPr>
        <w:t xml:space="preserve">, </w:t>
      </w:r>
      <w:r w:rsidRPr="003D13F9">
        <w:rPr>
          <w:rFonts w:ascii="Times New Roman" w:hAnsi="Times New Roman" w:cs="Times New Roman"/>
          <w:b/>
          <w:u w:val="single"/>
        </w:rPr>
        <w:t>a redução de base de cálculo prevista no inciso II do artigo 8° do Decreto n° 44.418/2013 não se aplica ao imposto retido por substituição tributária</w:t>
      </w:r>
      <w:r>
        <w:rPr>
          <w:rFonts w:ascii="Times New Roman" w:hAnsi="Times New Roman" w:cs="Times New Roman"/>
        </w:rPr>
        <w:t xml:space="preserve">, tendo em vista que, pelos motivos supramencionados, o referido benefício fiscal não se aplica a toda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cadeia de circulação da mercadoria, mas sim apenas ao imposto devido nas operações próprias dos estabelecimentos listados nos </w:t>
      </w:r>
      <w:r w:rsidRPr="00F95DB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cisos II, III e IV do artigo 2° do</w:t>
      </w:r>
      <w:r w:rsidRPr="0041324F">
        <w:rPr>
          <w:rFonts w:ascii="Times New Roman" w:hAnsi="Times New Roman" w:cs="Times New Roman"/>
        </w:rPr>
        <w:t xml:space="preserve"> </w:t>
      </w:r>
      <w:r w:rsidRPr="00F95DBD">
        <w:rPr>
          <w:rFonts w:ascii="Times New Roman" w:hAnsi="Times New Roman" w:cs="Times New Roman"/>
        </w:rPr>
        <w:t>Decreto n° 44.418/2013</w:t>
      </w:r>
      <w:r>
        <w:rPr>
          <w:rFonts w:ascii="Times New Roman" w:hAnsi="Times New Roman" w:cs="Times New Roman"/>
        </w:rPr>
        <w:t>.</w:t>
      </w:r>
    </w:p>
    <w:p w:rsidR="005511CD" w:rsidRPr="005511CD" w:rsidRDefault="003D13F9" w:rsidP="003D13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Relativamente à alegação da consulente sobre suposto entendimento desta Superintendência de Tributação, esclareça-se que a Solução de Consulta n° 057/2015 se refere ao benefício fiscal previsto no Decreto n° 44.498/2013, o qual prevê expressamente no inciso III do seu artigo 2° a aplicação da redução de base de cálculo ao imposto retido por substituição tributária. Assim, tendo em </w:t>
      </w:r>
      <w:r>
        <w:rPr>
          <w:rFonts w:ascii="Times New Roman" w:hAnsi="Times New Roman" w:cs="Times New Roman"/>
        </w:rPr>
        <w:lastRenderedPageBreak/>
        <w:t>vista a distinta natureza e abrangência dos mencionados benefícios fiscais, não assiste razão à consulente em tentar estender aquela manifestação ao caso em tela.</w:t>
      </w:r>
    </w:p>
    <w:bookmarkEnd w:id="0"/>
    <w:p w:rsidR="005A3FB1" w:rsidRPr="00BD70D0" w:rsidRDefault="005A3FB1" w:rsidP="00E666D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5A3FB1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F3571" w:rsidRDefault="001F3571" w:rsidP="00C108B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1F3571">
        <w:rPr>
          <w:rFonts w:ascii="Times New Roman" w:hAnsi="Times New Roman" w:cs="Times New Roman"/>
        </w:rPr>
        <w:t xml:space="preserve">Considerando o exposto, </w:t>
      </w:r>
      <w:r w:rsidR="00BD70D0" w:rsidRPr="003D13F9">
        <w:rPr>
          <w:rFonts w:ascii="Times New Roman" w:hAnsi="Times New Roman" w:cs="Times New Roman"/>
          <w:b/>
          <w:u w:val="single"/>
        </w:rPr>
        <w:t>a redução de base de cálculo prevista no inciso II do art</w:t>
      </w:r>
      <w:r w:rsidR="00BD70D0" w:rsidRPr="00BD70D0">
        <w:rPr>
          <w:rFonts w:ascii="Times New Roman" w:hAnsi="Times New Roman" w:cs="Times New Roman"/>
          <w:b/>
          <w:u w:val="single"/>
        </w:rPr>
        <w:t>igo 8° do Decreto n° 44.418/2013 não se aplica ao imposto retido por substituição tributária e tampouco a toda a cadeia de circulação da mercadoria, mas sim apenas ao imposto devido nas operações próprias dos estabelecimentos listados nos incisos II, III e IV do artigo 2° do Decreto n° 44.418/2013.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</w:t>
      </w:r>
      <w:r w:rsidRPr="005A3FB1">
        <w:rPr>
          <w:rFonts w:ascii="Times New Roman" w:hAnsi="Times New Roman" w:cs="Times New Roman"/>
        </w:rPr>
        <w:t xml:space="preserve">de forma contrária. </w:t>
      </w:r>
    </w:p>
    <w:p w:rsidR="00BD70D0" w:rsidRPr="005A3FB1" w:rsidRDefault="00FF5E0E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Considerando que </w:t>
      </w:r>
      <w:r w:rsidRPr="00793FBB">
        <w:rPr>
          <w:rFonts w:ascii="Times New Roman" w:eastAsia="Times New Roman" w:hAnsi="Times New Roman" w:cs="Times New Roman"/>
        </w:rPr>
        <w:t>o inciso II do artigo 3° da Resolução n° 109/76</w:t>
      </w:r>
      <w:r>
        <w:rPr>
          <w:rFonts w:ascii="Times New Roman" w:eastAsia="Times New Roman" w:hAnsi="Times New Roman" w:cs="Times New Roman"/>
        </w:rPr>
        <w:t xml:space="preserve"> </w:t>
      </w:r>
      <w:r w:rsidRPr="00793FBB">
        <w:rPr>
          <w:rFonts w:ascii="Times New Roman" w:eastAsia="Times New Roman" w:hAnsi="Times New Roman" w:cs="Times New Roman"/>
        </w:rPr>
        <w:t>não se encontra revogado pelo Decreto n° 2.473/79 (RPAT)</w:t>
      </w:r>
      <w:r>
        <w:rPr>
          <w:rFonts w:ascii="Times New Roman" w:eastAsia="Times New Roman" w:hAnsi="Times New Roman" w:cs="Times New Roman"/>
        </w:rPr>
        <w:t>, f</w:t>
      </w:r>
      <w:r w:rsidR="00BD70D0">
        <w:rPr>
          <w:rFonts w:ascii="Times New Roman" w:hAnsi="Times New Roman" w:cs="Times New Roman"/>
        </w:rPr>
        <w:t xml:space="preserve">ica condicionada a ciência desta solução de consulta </w:t>
      </w:r>
      <w:r w:rsidR="00806CC8">
        <w:rPr>
          <w:rFonts w:ascii="Times New Roman" w:hAnsi="Times New Roman" w:cs="Times New Roman"/>
        </w:rPr>
        <w:t xml:space="preserve">à consulente, somente produzindo os efeitos que lhe são próprios, </w:t>
      </w:r>
      <w:r w:rsidR="00BD70D0">
        <w:rPr>
          <w:rFonts w:ascii="Times New Roman" w:hAnsi="Times New Roman" w:cs="Times New Roman"/>
        </w:rPr>
        <w:t>caso não tenha havido autuação</w:t>
      </w:r>
      <w:r w:rsidR="00806CC8">
        <w:rPr>
          <w:rFonts w:ascii="Times New Roman" w:hAnsi="Times New Roman" w:cs="Times New Roman"/>
        </w:rPr>
        <w:t>,</w:t>
      </w:r>
      <w:r w:rsidR="00BD70D0">
        <w:rPr>
          <w:rFonts w:ascii="Times New Roman" w:hAnsi="Times New Roman" w:cs="Times New Roman"/>
        </w:rPr>
        <w:t xml:space="preserve"> ainda pendente de decisão final cujo fundamento esteja direta ou indiretamente relacionado às dúvidas suscitadas.</w:t>
      </w:r>
    </w:p>
    <w:p w:rsidR="002E32AD" w:rsidRDefault="002E32AD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2D2BF4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5A3FB1">
        <w:rPr>
          <w:rFonts w:ascii="Times New Roman" w:hAnsi="Times New Roman" w:cs="Times New Roman"/>
        </w:rPr>
        <w:t>CCJT, em</w:t>
      </w:r>
      <w:r w:rsidR="00726138" w:rsidRPr="005A3FB1">
        <w:rPr>
          <w:rFonts w:ascii="Times New Roman" w:hAnsi="Times New Roman" w:cs="Times New Roman"/>
        </w:rPr>
        <w:t xml:space="preserve"> </w:t>
      </w:r>
      <w:r w:rsidR="00806CC8">
        <w:rPr>
          <w:rFonts w:ascii="Times New Roman" w:hAnsi="Times New Roman" w:cs="Times New Roman"/>
        </w:rPr>
        <w:t>15</w:t>
      </w:r>
      <w:r w:rsidR="003C74CE" w:rsidRPr="005A3FB1">
        <w:rPr>
          <w:rFonts w:ascii="Times New Roman" w:hAnsi="Times New Roman" w:cs="Times New Roman"/>
        </w:rPr>
        <w:t xml:space="preserve"> </w:t>
      </w:r>
      <w:r w:rsidR="00544697" w:rsidRPr="005A3FB1">
        <w:rPr>
          <w:rFonts w:ascii="Times New Roman" w:hAnsi="Times New Roman" w:cs="Times New Roman"/>
        </w:rPr>
        <w:t xml:space="preserve">de </w:t>
      </w:r>
      <w:r w:rsidR="00806CC8">
        <w:rPr>
          <w:rFonts w:ascii="Times New Roman" w:hAnsi="Times New Roman" w:cs="Times New Roman"/>
        </w:rPr>
        <w:t>outubr</w:t>
      </w:r>
      <w:r w:rsidR="003C74CE" w:rsidRPr="005A3FB1">
        <w:rPr>
          <w:rFonts w:ascii="Times New Roman" w:hAnsi="Times New Roman" w:cs="Times New Roman"/>
        </w:rPr>
        <w:t>o</w:t>
      </w:r>
      <w:r w:rsidR="00544697" w:rsidRPr="005A3FB1">
        <w:rPr>
          <w:rFonts w:ascii="Times New Roman" w:hAnsi="Times New Roman" w:cs="Times New Roman"/>
        </w:rPr>
        <w:t xml:space="preserve"> de 201</w:t>
      </w:r>
      <w:r w:rsidR="00A73758" w:rsidRPr="005A3FB1">
        <w:rPr>
          <w:rFonts w:ascii="Times New Roman" w:hAnsi="Times New Roman" w:cs="Times New Roman"/>
        </w:rPr>
        <w:t>6</w:t>
      </w:r>
      <w:r w:rsidR="003C2B81" w:rsidRPr="005A3FB1">
        <w:rPr>
          <w:rFonts w:ascii="Times New Roman" w:hAnsi="Times New Roman" w:cs="Times New Roman"/>
        </w:rPr>
        <w:t>.</w:t>
      </w:r>
    </w:p>
    <w:p w:rsidR="005A3FB1" w:rsidRDefault="005A3FB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5A3FB1" w:rsidRPr="005A3FB1" w:rsidRDefault="005A3FB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sectPr w:rsidR="005A3FB1" w:rsidRPr="005A3FB1" w:rsidSect="002E3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C0" w:rsidRDefault="004933C0" w:rsidP="00546EC0">
      <w:pPr>
        <w:spacing w:after="0" w:line="240" w:lineRule="auto"/>
      </w:pPr>
      <w:r>
        <w:separator/>
      </w:r>
    </w:p>
  </w:endnote>
  <w:endnote w:type="continuationSeparator" w:id="0">
    <w:p w:rsidR="004933C0" w:rsidRDefault="004933C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D" w:rsidRDefault="002E32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D" w:rsidRDefault="002E32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D" w:rsidRDefault="002E32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C0" w:rsidRDefault="004933C0" w:rsidP="00546EC0">
      <w:pPr>
        <w:spacing w:after="0" w:line="240" w:lineRule="auto"/>
      </w:pPr>
      <w:r>
        <w:separator/>
      </w:r>
    </w:p>
  </w:footnote>
  <w:footnote w:type="continuationSeparator" w:id="0">
    <w:p w:rsidR="004933C0" w:rsidRDefault="004933C0" w:rsidP="00546EC0">
      <w:pPr>
        <w:spacing w:after="0" w:line="240" w:lineRule="auto"/>
      </w:pPr>
      <w:r>
        <w:continuationSeparator/>
      </w:r>
    </w:p>
  </w:footnote>
  <w:footnote w:id="1">
    <w:p w:rsidR="00282264" w:rsidRDefault="00282264" w:rsidP="0028226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282264">
        <w:rPr>
          <w:rFonts w:ascii="Times New Roman" w:hAnsi="Times New Roman" w:cs="Times New Roman"/>
        </w:rPr>
        <w:t xml:space="preserve">A questão </w:t>
      </w:r>
      <w:r>
        <w:rPr>
          <w:rFonts w:ascii="Times New Roman" w:hAnsi="Times New Roman" w:cs="Times New Roman"/>
        </w:rPr>
        <w:t>será tratada em autos apartados, considerando a necessidade de disciplina da matéria em âmbito interno.</w:t>
      </w:r>
    </w:p>
  </w:footnote>
  <w:footnote w:id="2">
    <w:p w:rsidR="00FF5E0E" w:rsidRDefault="00FF5E0E" w:rsidP="00FF5E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Cs w:val="22"/>
        </w:rPr>
        <w:t>No</w:t>
      </w:r>
      <w:r w:rsidRPr="00D168FB">
        <w:rPr>
          <w:rFonts w:ascii="Times New Roman" w:eastAsia="Times New Roman" w:hAnsi="Times New Roman" w:cs="Times New Roman"/>
          <w:szCs w:val="22"/>
        </w:rPr>
        <w:t xml:space="preserve"> caso em tela</w:t>
      </w:r>
      <w:r>
        <w:rPr>
          <w:rFonts w:ascii="Times New Roman" w:eastAsia="Times New Roman" w:hAnsi="Times New Roman" w:cs="Times New Roman"/>
          <w:szCs w:val="22"/>
        </w:rPr>
        <w:t>,</w:t>
      </w:r>
      <w:r w:rsidRPr="00D168FB">
        <w:rPr>
          <w:rFonts w:ascii="Times New Roman" w:eastAsia="Times New Roman" w:hAnsi="Times New Roman" w:cs="Times New Roman"/>
          <w:szCs w:val="22"/>
        </w:rPr>
        <w:t xml:space="preserve"> a consulente.</w:t>
      </w:r>
    </w:p>
  </w:footnote>
  <w:footnote w:id="3">
    <w:p w:rsidR="005511CD" w:rsidRDefault="005511CD" w:rsidP="005511CD">
      <w:pPr>
        <w:pStyle w:val="Textodenotaderodap"/>
        <w:jc w:val="both"/>
      </w:pPr>
      <w:r w:rsidRPr="005511CD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D13F9">
        <w:rPr>
          <w:rFonts w:ascii="Times New Roman" w:hAnsi="Times New Roman" w:cs="Times New Roman"/>
        </w:rPr>
        <w:t>REsp</w:t>
      </w:r>
      <w:proofErr w:type="spellEnd"/>
      <w:proofErr w:type="gramEnd"/>
      <w:r w:rsidR="003D13F9">
        <w:rPr>
          <w:rFonts w:ascii="Times New Roman" w:hAnsi="Times New Roman" w:cs="Times New Roman"/>
        </w:rPr>
        <w:t xml:space="preserve"> 1212976/</w:t>
      </w:r>
      <w:r w:rsidRPr="005511CD"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3D13F9">
        <w:rPr>
          <w:rFonts w:ascii="Times New Roman" w:hAnsi="Times New Roman" w:cs="Times New Roman"/>
        </w:rPr>
        <w:t>REsp.</w:t>
      </w:r>
      <w:proofErr w:type="spellEnd"/>
      <w:r w:rsidR="003D13F9">
        <w:rPr>
          <w:rFonts w:ascii="Times New Roman" w:hAnsi="Times New Roman" w:cs="Times New Roman"/>
        </w:rPr>
        <w:t xml:space="preserve"> 921</w:t>
      </w:r>
      <w:r w:rsidRPr="005511CD">
        <w:rPr>
          <w:rFonts w:ascii="Times New Roman" w:hAnsi="Times New Roman" w:cs="Times New Roman"/>
        </w:rPr>
        <w:t>269/RS</w:t>
      </w:r>
      <w:r w:rsidR="003D13F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3D13F9">
        <w:rPr>
          <w:rFonts w:ascii="Times New Roman" w:hAnsi="Times New Roman" w:cs="Times New Roman"/>
        </w:rPr>
        <w:t>REsp</w:t>
      </w:r>
      <w:proofErr w:type="spellEnd"/>
      <w:proofErr w:type="gramEnd"/>
      <w:r w:rsidR="003D13F9">
        <w:rPr>
          <w:rFonts w:ascii="Times New Roman" w:hAnsi="Times New Roman" w:cs="Times New Roman"/>
        </w:rPr>
        <w:t xml:space="preserve"> 1517703/</w:t>
      </w:r>
      <w:r w:rsidR="003D13F9" w:rsidRPr="003D13F9">
        <w:rPr>
          <w:rFonts w:ascii="Times New Roman" w:hAnsi="Times New Roman" w:cs="Times New Roman"/>
        </w:rPr>
        <w:t>RS</w:t>
      </w:r>
      <w:r w:rsidR="003D13F9">
        <w:rPr>
          <w:rFonts w:ascii="Times New Roman" w:hAnsi="Times New Roman" w:cs="Times New Roman"/>
        </w:rPr>
        <w:t>, entre outros</w:t>
      </w:r>
      <w:r>
        <w:rPr>
          <w:rFonts w:ascii="Times New Roman" w:hAnsi="Times New Roman" w:cs="Times New Roman"/>
        </w:rPr>
        <w:t>.</w:t>
      </w:r>
    </w:p>
  </w:footnote>
  <w:footnote w:id="4">
    <w:p w:rsidR="005511CD" w:rsidRPr="004C2088" w:rsidRDefault="005511CD" w:rsidP="005511CD">
      <w:pPr>
        <w:pStyle w:val="Default"/>
        <w:jc w:val="both"/>
        <w:rPr>
          <w:sz w:val="20"/>
          <w:szCs w:val="20"/>
        </w:rPr>
      </w:pPr>
      <w:r w:rsidRPr="004C2088">
        <w:rPr>
          <w:rStyle w:val="Refdenotaderodap"/>
          <w:rFonts w:eastAsia="Calibri"/>
          <w:color w:val="auto"/>
          <w:sz w:val="20"/>
          <w:szCs w:val="20"/>
        </w:rPr>
        <w:footnoteRef/>
      </w:r>
      <w:r w:rsidRPr="004C2088">
        <w:rPr>
          <w:sz w:val="20"/>
          <w:szCs w:val="20"/>
        </w:rPr>
        <w:t xml:space="preserve"> </w:t>
      </w:r>
      <w:r w:rsidRPr="004C2088">
        <w:rPr>
          <w:rStyle w:val="Forte"/>
          <w:b w:val="0"/>
          <w:sz w:val="20"/>
        </w:rPr>
        <w:t>Quanto à sua natureza, ou método, a interpretação é</w:t>
      </w:r>
      <w:r w:rsidRPr="004C2088">
        <w:rPr>
          <w:b/>
          <w:sz w:val="20"/>
          <w:szCs w:val="20"/>
        </w:rPr>
        <w:t xml:space="preserve"> </w:t>
      </w:r>
      <w:r w:rsidRPr="004C2088">
        <w:rPr>
          <w:sz w:val="20"/>
          <w:szCs w:val="20"/>
        </w:rPr>
        <w:t>usualmente classificada em</w:t>
      </w:r>
      <w:r w:rsidRPr="004C2088">
        <w:rPr>
          <w:b/>
          <w:sz w:val="20"/>
          <w:szCs w:val="20"/>
        </w:rPr>
        <w:t xml:space="preserve"> </w:t>
      </w:r>
      <w:r w:rsidRPr="004C2088">
        <w:rPr>
          <w:rStyle w:val="Forte"/>
          <w:b w:val="0"/>
          <w:sz w:val="20"/>
        </w:rPr>
        <w:t>Histórica; Literal ou gramatical; Lógico</w:t>
      </w:r>
      <w:r w:rsidRPr="004C2088">
        <w:rPr>
          <w:rStyle w:val="Forte"/>
          <w:b w:val="0"/>
          <w:sz w:val="20"/>
        </w:rPr>
        <w:noBreakHyphen/>
        <w:t xml:space="preserve">sistemática e Teleológica. </w:t>
      </w:r>
      <w:r w:rsidRPr="004C2088">
        <w:rPr>
          <w:sz w:val="20"/>
          <w:szCs w:val="20"/>
        </w:rPr>
        <w:t>A melhor doutrina aponta no sentido da pluralidade metodológica, não existindo hierarquia entre os vários métodos, os quais apesar de poderem em algumas circunstâncias apontar para resultados contraditórios</w:t>
      </w:r>
      <w:proofErr w:type="gramStart"/>
      <w:r w:rsidRPr="004C2088">
        <w:rPr>
          <w:sz w:val="20"/>
          <w:szCs w:val="20"/>
        </w:rPr>
        <w:t>, constituem</w:t>
      </w:r>
      <w:proofErr w:type="gramEnd"/>
      <w:r w:rsidRPr="004C2088">
        <w:rPr>
          <w:sz w:val="20"/>
          <w:szCs w:val="20"/>
        </w:rPr>
        <w:t xml:space="preserve"> manifestações indissociáveis e interdependentes na atividade hermenêutica. Assim, a interpretação não se desenvolve a partir da escolha de um critério, mas sim a partir de um único procedimento único, no qual o intérprete aplica e se utiliza de todos os métodos, prevalecendo, de acordo com o caso concreto, um ou outro. É justamente por isso que Karl </w:t>
      </w:r>
      <w:proofErr w:type="spellStart"/>
      <w:r w:rsidRPr="004C2088">
        <w:rPr>
          <w:sz w:val="20"/>
          <w:szCs w:val="20"/>
        </w:rPr>
        <w:t>Larenz</w:t>
      </w:r>
      <w:proofErr w:type="spellEnd"/>
      <w:r w:rsidRPr="004C2088">
        <w:rPr>
          <w:sz w:val="20"/>
          <w:szCs w:val="20"/>
        </w:rPr>
        <w:t xml:space="preserve"> evita falar em métodos, preferindo a </w:t>
      </w:r>
      <w:r w:rsidRPr="00765838">
        <w:rPr>
          <w:sz w:val="20"/>
          <w:szCs w:val="20"/>
        </w:rPr>
        <w:t>expressão pontos de vista diretivos.</w:t>
      </w:r>
      <w:r>
        <w:rPr>
          <w:sz w:val="20"/>
          <w:szCs w:val="20"/>
        </w:rPr>
        <w:t xml:space="preserve"> (</w:t>
      </w:r>
      <w:r w:rsidRPr="00765838">
        <w:rPr>
          <w:smallCaps/>
          <w:sz w:val="20"/>
          <w:szCs w:val="20"/>
        </w:rPr>
        <w:t>LARENZ</w:t>
      </w:r>
      <w:r w:rsidRPr="00765838">
        <w:rPr>
          <w:sz w:val="20"/>
          <w:szCs w:val="20"/>
        </w:rPr>
        <w:t xml:space="preserve">, Karl. </w:t>
      </w:r>
      <w:r w:rsidRPr="00765838">
        <w:rPr>
          <w:i/>
          <w:sz w:val="20"/>
          <w:szCs w:val="20"/>
        </w:rPr>
        <w:t>Metodologia da Ciência do Direito</w:t>
      </w:r>
      <w:r w:rsidRPr="00765838">
        <w:rPr>
          <w:sz w:val="20"/>
          <w:szCs w:val="20"/>
        </w:rPr>
        <w:t xml:space="preserve">. </w:t>
      </w:r>
      <w:proofErr w:type="gramStart"/>
      <w:r w:rsidRPr="00765838">
        <w:rPr>
          <w:sz w:val="20"/>
          <w:szCs w:val="20"/>
        </w:rPr>
        <w:t>3</w:t>
      </w:r>
      <w:proofErr w:type="gramEnd"/>
      <w:r w:rsidRPr="00765838">
        <w:rPr>
          <w:sz w:val="20"/>
          <w:szCs w:val="20"/>
        </w:rPr>
        <w:t>. ed. Tradução de José Lamego. Lisboa: Fun</w:t>
      </w:r>
      <w:r>
        <w:rPr>
          <w:sz w:val="20"/>
          <w:szCs w:val="20"/>
        </w:rPr>
        <w:t xml:space="preserve">dação </w:t>
      </w:r>
      <w:proofErr w:type="spellStart"/>
      <w:r>
        <w:rPr>
          <w:sz w:val="20"/>
          <w:szCs w:val="20"/>
        </w:rPr>
        <w:t>Calouste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Gulbenkian</w:t>
      </w:r>
      <w:proofErr w:type="spellEnd"/>
      <w:r>
        <w:rPr>
          <w:sz w:val="20"/>
          <w:szCs w:val="20"/>
        </w:rPr>
        <w:t>, 1997).</w:t>
      </w:r>
    </w:p>
  </w:footnote>
  <w:footnote w:id="5">
    <w:p w:rsidR="005511CD" w:rsidRPr="004C2088" w:rsidRDefault="005511CD" w:rsidP="005511CD">
      <w:pPr>
        <w:pStyle w:val="Textodenotaderodap"/>
        <w:jc w:val="both"/>
        <w:rPr>
          <w:rFonts w:ascii="Times New Roman" w:hAnsi="Times New Roman" w:cs="Times New Roman"/>
        </w:rPr>
      </w:pPr>
      <w:r w:rsidRPr="004C2088">
        <w:rPr>
          <w:rStyle w:val="Refdenotaderodap"/>
          <w:rFonts w:ascii="Times New Roman" w:hAnsi="Times New Roman" w:cs="Times New Roman"/>
        </w:rPr>
        <w:footnoteRef/>
      </w:r>
      <w:r w:rsidRPr="004C2088">
        <w:rPr>
          <w:rFonts w:ascii="Times New Roman" w:hAnsi="Times New Roman" w:cs="Times New Roman"/>
        </w:rPr>
        <w:t xml:space="preserve"> </w:t>
      </w:r>
      <w:r w:rsidRPr="004C2088">
        <w:rPr>
          <w:rStyle w:val="Forte"/>
          <w:rFonts w:ascii="Times New Roman" w:hAnsi="Times New Roman"/>
          <w:b w:val="0"/>
        </w:rPr>
        <w:t xml:space="preserve">Quanto a seus </w:t>
      </w:r>
      <w:r w:rsidRPr="004C2088">
        <w:rPr>
          <w:rStyle w:val="Forte"/>
          <w:rFonts w:ascii="Times New Roman" w:hAnsi="Times New Roman"/>
        </w:rPr>
        <w:t>efeitos</w:t>
      </w:r>
      <w:r w:rsidRPr="004C2088">
        <w:rPr>
          <w:rStyle w:val="Forte"/>
          <w:rFonts w:ascii="Times New Roman" w:hAnsi="Times New Roman"/>
          <w:b w:val="0"/>
        </w:rPr>
        <w:t xml:space="preserve"> ou resultados, a interpretação é classicamente subdividida em </w:t>
      </w:r>
      <w:r w:rsidRPr="004C2088">
        <w:rPr>
          <w:rStyle w:val="Forte"/>
          <w:rFonts w:ascii="Times New Roman" w:hAnsi="Times New Roman"/>
        </w:rPr>
        <w:t>extensiva</w:t>
      </w:r>
      <w:r w:rsidRPr="004C2088">
        <w:rPr>
          <w:rStyle w:val="Forte"/>
          <w:rFonts w:ascii="Times New Roman" w:hAnsi="Times New Roman"/>
          <w:b w:val="0"/>
        </w:rPr>
        <w:t xml:space="preserve">, </w:t>
      </w:r>
      <w:r w:rsidRPr="004C2088">
        <w:rPr>
          <w:rStyle w:val="Forte"/>
          <w:rFonts w:ascii="Times New Roman" w:hAnsi="Times New Roman"/>
        </w:rPr>
        <w:t>restritiva</w:t>
      </w:r>
      <w:r w:rsidRPr="004C2088">
        <w:rPr>
          <w:rStyle w:val="Forte"/>
          <w:rFonts w:ascii="Times New Roman" w:hAnsi="Times New Roman"/>
          <w:b w:val="0"/>
        </w:rPr>
        <w:t xml:space="preserve"> e </w:t>
      </w:r>
      <w:r w:rsidRPr="004C2088">
        <w:rPr>
          <w:rStyle w:val="Forte"/>
          <w:rFonts w:ascii="Times New Roman" w:hAnsi="Times New Roman"/>
        </w:rPr>
        <w:t>declarativa</w:t>
      </w:r>
      <w:r w:rsidRPr="004C2088">
        <w:rPr>
          <w:rStyle w:val="Forte"/>
          <w:rFonts w:ascii="Times New Roman" w:hAnsi="Times New Roman"/>
          <w:b w:val="0"/>
        </w:rPr>
        <w:t xml:space="preserve">. Alípio Silveira sintetiza a questão nos seguintes termos: “É declarativa quando a letra se harmoniza com o significado obtido pelos outros métodos. É extensiva se o significado obtido pelos outros métodos é mais amplo do que o literal. Por fim, é restritiva quando o significado literal é mais amplo do que aquele obtido pelos outros métodos”.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D" w:rsidRDefault="002E32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40C4B51C" wp14:editId="5564D2A1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856C4C" w:rsidP="00777B8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5523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2015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856C4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856C4C">
                  <w:rPr>
                    <w:rFonts w:ascii="Times New Roman" w:hAnsi="Times New Roman"/>
                    <w:sz w:val="20"/>
                  </w:rPr>
                  <w:t>25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56C4C">
                  <w:rPr>
                    <w:rFonts w:ascii="Times New Roman" w:hAnsi="Times New Roman"/>
                    <w:sz w:val="20"/>
                  </w:rPr>
                  <w:t>11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856C4C">
                  <w:rPr>
                    <w:rFonts w:ascii="Times New Roman" w:hAnsi="Times New Roman"/>
                    <w:sz w:val="20"/>
                  </w:rPr>
                  <w:t>5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94646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94646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2E32AD">
                  <w:rPr>
                    <w:rFonts w:ascii="Times New Roman" w:hAnsi="Times New Roman"/>
                    <w:noProof/>
                    <w:sz w:val="20"/>
                  </w:rPr>
                  <w:t>48</w:t>
                </w:r>
                <w:r w:rsidR="00394646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1" w:name="_GoBack"/>
                <w:bookmarkEnd w:id="1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D" w:rsidRDefault="002E32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1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23"/>
  </w:num>
  <w:num w:numId="10">
    <w:abstractNumId w:val="6"/>
  </w:num>
  <w:num w:numId="11">
    <w:abstractNumId w:val="7"/>
  </w:num>
  <w:num w:numId="12">
    <w:abstractNumId w:val="22"/>
  </w:num>
  <w:num w:numId="13">
    <w:abstractNumId w:val="17"/>
  </w:num>
  <w:num w:numId="14">
    <w:abstractNumId w:val="28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7"/>
  </w:num>
  <w:num w:numId="21">
    <w:abstractNumId w:val="11"/>
  </w:num>
  <w:num w:numId="22">
    <w:abstractNumId w:val="13"/>
  </w:num>
  <w:num w:numId="23">
    <w:abstractNumId w:val="9"/>
  </w:num>
  <w:num w:numId="24">
    <w:abstractNumId w:val="25"/>
  </w:num>
  <w:num w:numId="25">
    <w:abstractNumId w:val="26"/>
  </w:num>
  <w:num w:numId="26">
    <w:abstractNumId w:val="8"/>
  </w:num>
  <w:num w:numId="27">
    <w:abstractNumId w:val="24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1FA"/>
    <w:rsid w:val="00007209"/>
    <w:rsid w:val="0001096A"/>
    <w:rsid w:val="00010B56"/>
    <w:rsid w:val="0002389A"/>
    <w:rsid w:val="000267DA"/>
    <w:rsid w:val="0003044A"/>
    <w:rsid w:val="00053AD7"/>
    <w:rsid w:val="00054EB8"/>
    <w:rsid w:val="0005634A"/>
    <w:rsid w:val="0006100E"/>
    <w:rsid w:val="00063686"/>
    <w:rsid w:val="00064A50"/>
    <w:rsid w:val="00067269"/>
    <w:rsid w:val="00070B1C"/>
    <w:rsid w:val="0008336D"/>
    <w:rsid w:val="00084116"/>
    <w:rsid w:val="00084A83"/>
    <w:rsid w:val="000855F6"/>
    <w:rsid w:val="000874A1"/>
    <w:rsid w:val="000A09DE"/>
    <w:rsid w:val="000A475F"/>
    <w:rsid w:val="000B2CBC"/>
    <w:rsid w:val="000C0F80"/>
    <w:rsid w:val="000C115B"/>
    <w:rsid w:val="000C2BAA"/>
    <w:rsid w:val="000C3A53"/>
    <w:rsid w:val="000C474C"/>
    <w:rsid w:val="000C5495"/>
    <w:rsid w:val="000C7B63"/>
    <w:rsid w:val="000D6809"/>
    <w:rsid w:val="000D6F55"/>
    <w:rsid w:val="000E0981"/>
    <w:rsid w:val="000F30B1"/>
    <w:rsid w:val="000F4FB2"/>
    <w:rsid w:val="000F63EE"/>
    <w:rsid w:val="001005AB"/>
    <w:rsid w:val="00111ED2"/>
    <w:rsid w:val="001342AA"/>
    <w:rsid w:val="0014427E"/>
    <w:rsid w:val="0014478F"/>
    <w:rsid w:val="0014555C"/>
    <w:rsid w:val="00147152"/>
    <w:rsid w:val="00156B62"/>
    <w:rsid w:val="00157300"/>
    <w:rsid w:val="00163E34"/>
    <w:rsid w:val="00166E64"/>
    <w:rsid w:val="00166FDB"/>
    <w:rsid w:val="001760E5"/>
    <w:rsid w:val="0018777E"/>
    <w:rsid w:val="001A0157"/>
    <w:rsid w:val="001A6CE1"/>
    <w:rsid w:val="001B06CE"/>
    <w:rsid w:val="001B1A3D"/>
    <w:rsid w:val="001B71E8"/>
    <w:rsid w:val="001C1D79"/>
    <w:rsid w:val="001C7076"/>
    <w:rsid w:val="001C7B3E"/>
    <w:rsid w:val="001D30E3"/>
    <w:rsid w:val="001D4EF6"/>
    <w:rsid w:val="001E4F56"/>
    <w:rsid w:val="001F309B"/>
    <w:rsid w:val="001F3571"/>
    <w:rsid w:val="001F3956"/>
    <w:rsid w:val="001F3F43"/>
    <w:rsid w:val="001F7132"/>
    <w:rsid w:val="0020592B"/>
    <w:rsid w:val="00210225"/>
    <w:rsid w:val="002124DC"/>
    <w:rsid w:val="00216AA2"/>
    <w:rsid w:val="00217892"/>
    <w:rsid w:val="0022236B"/>
    <w:rsid w:val="00222C49"/>
    <w:rsid w:val="00233A2F"/>
    <w:rsid w:val="0023652F"/>
    <w:rsid w:val="002402D9"/>
    <w:rsid w:val="002436D8"/>
    <w:rsid w:val="002452B9"/>
    <w:rsid w:val="002459F7"/>
    <w:rsid w:val="00246226"/>
    <w:rsid w:val="00251988"/>
    <w:rsid w:val="002519DC"/>
    <w:rsid w:val="00253080"/>
    <w:rsid w:val="002602BE"/>
    <w:rsid w:val="00263ECC"/>
    <w:rsid w:val="00264B3C"/>
    <w:rsid w:val="00265632"/>
    <w:rsid w:val="00277CB4"/>
    <w:rsid w:val="00282264"/>
    <w:rsid w:val="002827AA"/>
    <w:rsid w:val="0028490E"/>
    <w:rsid w:val="00286428"/>
    <w:rsid w:val="00296DAB"/>
    <w:rsid w:val="00296FE0"/>
    <w:rsid w:val="002A4C9B"/>
    <w:rsid w:val="002B25A7"/>
    <w:rsid w:val="002B2A2D"/>
    <w:rsid w:val="002B71CC"/>
    <w:rsid w:val="002B74A0"/>
    <w:rsid w:val="002C092A"/>
    <w:rsid w:val="002C2F26"/>
    <w:rsid w:val="002D05D7"/>
    <w:rsid w:val="002D2BF4"/>
    <w:rsid w:val="002D326F"/>
    <w:rsid w:val="002E32AD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5F2"/>
    <w:rsid w:val="0030586F"/>
    <w:rsid w:val="00306109"/>
    <w:rsid w:val="00307D59"/>
    <w:rsid w:val="003107BC"/>
    <w:rsid w:val="0031519F"/>
    <w:rsid w:val="00324BEA"/>
    <w:rsid w:val="00327650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6A58"/>
    <w:rsid w:val="00377CC4"/>
    <w:rsid w:val="003829C7"/>
    <w:rsid w:val="0038321B"/>
    <w:rsid w:val="00385A1F"/>
    <w:rsid w:val="003926F3"/>
    <w:rsid w:val="0039416D"/>
    <w:rsid w:val="00394646"/>
    <w:rsid w:val="00395FDC"/>
    <w:rsid w:val="00397EFE"/>
    <w:rsid w:val="003A10D2"/>
    <w:rsid w:val="003C2B81"/>
    <w:rsid w:val="003C3FF2"/>
    <w:rsid w:val="003C74CE"/>
    <w:rsid w:val="003D13F9"/>
    <w:rsid w:val="003D672A"/>
    <w:rsid w:val="003E2C18"/>
    <w:rsid w:val="003E5196"/>
    <w:rsid w:val="003E541C"/>
    <w:rsid w:val="003E5502"/>
    <w:rsid w:val="003E5ED9"/>
    <w:rsid w:val="003E7E19"/>
    <w:rsid w:val="00400C16"/>
    <w:rsid w:val="004047D7"/>
    <w:rsid w:val="00404875"/>
    <w:rsid w:val="00411549"/>
    <w:rsid w:val="00412522"/>
    <w:rsid w:val="0041324F"/>
    <w:rsid w:val="004136EA"/>
    <w:rsid w:val="00415D1E"/>
    <w:rsid w:val="0041623A"/>
    <w:rsid w:val="00416D11"/>
    <w:rsid w:val="004220AD"/>
    <w:rsid w:val="00423EF2"/>
    <w:rsid w:val="004241D0"/>
    <w:rsid w:val="00427F9E"/>
    <w:rsid w:val="00431356"/>
    <w:rsid w:val="0044157F"/>
    <w:rsid w:val="00443B85"/>
    <w:rsid w:val="00454EBA"/>
    <w:rsid w:val="00455FAC"/>
    <w:rsid w:val="004606FC"/>
    <w:rsid w:val="0046141F"/>
    <w:rsid w:val="00462AC3"/>
    <w:rsid w:val="00464744"/>
    <w:rsid w:val="0046730E"/>
    <w:rsid w:val="00467517"/>
    <w:rsid w:val="00471066"/>
    <w:rsid w:val="004734E9"/>
    <w:rsid w:val="0047613C"/>
    <w:rsid w:val="00480304"/>
    <w:rsid w:val="00481E33"/>
    <w:rsid w:val="00481F61"/>
    <w:rsid w:val="00482136"/>
    <w:rsid w:val="00482C57"/>
    <w:rsid w:val="00483017"/>
    <w:rsid w:val="00487A3A"/>
    <w:rsid w:val="004933C0"/>
    <w:rsid w:val="00494D03"/>
    <w:rsid w:val="004A02C8"/>
    <w:rsid w:val="004A40D0"/>
    <w:rsid w:val="004A5EFB"/>
    <w:rsid w:val="004A6BD1"/>
    <w:rsid w:val="004B77EB"/>
    <w:rsid w:val="004C09C0"/>
    <w:rsid w:val="004C1EB5"/>
    <w:rsid w:val="004C2776"/>
    <w:rsid w:val="004D3BD9"/>
    <w:rsid w:val="004E2759"/>
    <w:rsid w:val="004E6C16"/>
    <w:rsid w:val="004F17F9"/>
    <w:rsid w:val="004F389A"/>
    <w:rsid w:val="004F5CBF"/>
    <w:rsid w:val="004F7719"/>
    <w:rsid w:val="00506358"/>
    <w:rsid w:val="00511D0E"/>
    <w:rsid w:val="00515D0B"/>
    <w:rsid w:val="005220FC"/>
    <w:rsid w:val="00524448"/>
    <w:rsid w:val="00531AD8"/>
    <w:rsid w:val="00531E77"/>
    <w:rsid w:val="005333BB"/>
    <w:rsid w:val="0053697F"/>
    <w:rsid w:val="00542EA5"/>
    <w:rsid w:val="00544697"/>
    <w:rsid w:val="00544A3C"/>
    <w:rsid w:val="00546EC0"/>
    <w:rsid w:val="005511CD"/>
    <w:rsid w:val="00553A37"/>
    <w:rsid w:val="00555312"/>
    <w:rsid w:val="005578E8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3FB1"/>
    <w:rsid w:val="005A49BA"/>
    <w:rsid w:val="005A4A28"/>
    <w:rsid w:val="005A535E"/>
    <w:rsid w:val="005A5805"/>
    <w:rsid w:val="005A6F87"/>
    <w:rsid w:val="005A70B3"/>
    <w:rsid w:val="005A746E"/>
    <w:rsid w:val="005B0B8B"/>
    <w:rsid w:val="005B2FDB"/>
    <w:rsid w:val="005B38F6"/>
    <w:rsid w:val="005B395F"/>
    <w:rsid w:val="005B74E9"/>
    <w:rsid w:val="005C5FC9"/>
    <w:rsid w:val="005D094C"/>
    <w:rsid w:val="005D2324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48DA"/>
    <w:rsid w:val="00616D6F"/>
    <w:rsid w:val="0062063D"/>
    <w:rsid w:val="006239D5"/>
    <w:rsid w:val="006251E1"/>
    <w:rsid w:val="006343D4"/>
    <w:rsid w:val="0063619B"/>
    <w:rsid w:val="006406C8"/>
    <w:rsid w:val="00641435"/>
    <w:rsid w:val="00642FBD"/>
    <w:rsid w:val="006460CF"/>
    <w:rsid w:val="0065393E"/>
    <w:rsid w:val="00654C1A"/>
    <w:rsid w:val="00655358"/>
    <w:rsid w:val="006637B6"/>
    <w:rsid w:val="0066751B"/>
    <w:rsid w:val="00681C11"/>
    <w:rsid w:val="00681E8C"/>
    <w:rsid w:val="00686534"/>
    <w:rsid w:val="00691383"/>
    <w:rsid w:val="006A2586"/>
    <w:rsid w:val="006A270F"/>
    <w:rsid w:val="006A3E5C"/>
    <w:rsid w:val="006A75B6"/>
    <w:rsid w:val="006A7B09"/>
    <w:rsid w:val="006B0166"/>
    <w:rsid w:val="006B1F43"/>
    <w:rsid w:val="006C0215"/>
    <w:rsid w:val="006C061B"/>
    <w:rsid w:val="006C22B0"/>
    <w:rsid w:val="006C2B14"/>
    <w:rsid w:val="006C3810"/>
    <w:rsid w:val="006C7EA7"/>
    <w:rsid w:val="006D3064"/>
    <w:rsid w:val="006D3BD2"/>
    <w:rsid w:val="006E73A4"/>
    <w:rsid w:val="006E7D44"/>
    <w:rsid w:val="006F06F0"/>
    <w:rsid w:val="006F371B"/>
    <w:rsid w:val="006F6F46"/>
    <w:rsid w:val="006F7473"/>
    <w:rsid w:val="006F7509"/>
    <w:rsid w:val="00704CF8"/>
    <w:rsid w:val="0071758A"/>
    <w:rsid w:val="00723073"/>
    <w:rsid w:val="0072317C"/>
    <w:rsid w:val="00725031"/>
    <w:rsid w:val="00726138"/>
    <w:rsid w:val="0073615C"/>
    <w:rsid w:val="0074027D"/>
    <w:rsid w:val="00744CFD"/>
    <w:rsid w:val="00745EA1"/>
    <w:rsid w:val="0075364B"/>
    <w:rsid w:val="007637EC"/>
    <w:rsid w:val="00766BFF"/>
    <w:rsid w:val="0077111D"/>
    <w:rsid w:val="00773AC1"/>
    <w:rsid w:val="00774EE0"/>
    <w:rsid w:val="00777B85"/>
    <w:rsid w:val="00784FE7"/>
    <w:rsid w:val="00785705"/>
    <w:rsid w:val="00792733"/>
    <w:rsid w:val="007A3336"/>
    <w:rsid w:val="007A59E8"/>
    <w:rsid w:val="007B05BC"/>
    <w:rsid w:val="007D43AF"/>
    <w:rsid w:val="007E0EB0"/>
    <w:rsid w:val="007E33A3"/>
    <w:rsid w:val="00802458"/>
    <w:rsid w:val="00802806"/>
    <w:rsid w:val="0080451C"/>
    <w:rsid w:val="00805A34"/>
    <w:rsid w:val="008066EF"/>
    <w:rsid w:val="00806CC8"/>
    <w:rsid w:val="00811976"/>
    <w:rsid w:val="00813986"/>
    <w:rsid w:val="00815AF9"/>
    <w:rsid w:val="00820383"/>
    <w:rsid w:val="00820B31"/>
    <w:rsid w:val="00821B5B"/>
    <w:rsid w:val="00822FC1"/>
    <w:rsid w:val="00825B85"/>
    <w:rsid w:val="00825D6E"/>
    <w:rsid w:val="00826E19"/>
    <w:rsid w:val="00827ABA"/>
    <w:rsid w:val="0083341E"/>
    <w:rsid w:val="00834E93"/>
    <w:rsid w:val="00835B57"/>
    <w:rsid w:val="00843CCE"/>
    <w:rsid w:val="00844E38"/>
    <w:rsid w:val="008505C6"/>
    <w:rsid w:val="00856C4C"/>
    <w:rsid w:val="008633F9"/>
    <w:rsid w:val="008662EA"/>
    <w:rsid w:val="00867489"/>
    <w:rsid w:val="00870982"/>
    <w:rsid w:val="00874337"/>
    <w:rsid w:val="008837E5"/>
    <w:rsid w:val="008876B4"/>
    <w:rsid w:val="0089032B"/>
    <w:rsid w:val="0089083E"/>
    <w:rsid w:val="008963F1"/>
    <w:rsid w:val="008968DF"/>
    <w:rsid w:val="008A6FD7"/>
    <w:rsid w:val="008B0AB4"/>
    <w:rsid w:val="008B1870"/>
    <w:rsid w:val="008B2817"/>
    <w:rsid w:val="008B7E52"/>
    <w:rsid w:val="008C378C"/>
    <w:rsid w:val="008C5BDE"/>
    <w:rsid w:val="008C6621"/>
    <w:rsid w:val="008C6DC0"/>
    <w:rsid w:val="008D0CD7"/>
    <w:rsid w:val="008D3F8D"/>
    <w:rsid w:val="008D4306"/>
    <w:rsid w:val="008E02BC"/>
    <w:rsid w:val="008E188A"/>
    <w:rsid w:val="008E7D29"/>
    <w:rsid w:val="008F3D1E"/>
    <w:rsid w:val="008F47CB"/>
    <w:rsid w:val="008F716D"/>
    <w:rsid w:val="009022FB"/>
    <w:rsid w:val="009114C8"/>
    <w:rsid w:val="00913262"/>
    <w:rsid w:val="009155C7"/>
    <w:rsid w:val="0092139C"/>
    <w:rsid w:val="00922F60"/>
    <w:rsid w:val="0093290E"/>
    <w:rsid w:val="00934E4E"/>
    <w:rsid w:val="009371CE"/>
    <w:rsid w:val="009409F8"/>
    <w:rsid w:val="009419F4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2B3E"/>
    <w:rsid w:val="009C4927"/>
    <w:rsid w:val="009C4F3D"/>
    <w:rsid w:val="009C52C7"/>
    <w:rsid w:val="009D1501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125EC"/>
    <w:rsid w:val="00A14030"/>
    <w:rsid w:val="00A1752D"/>
    <w:rsid w:val="00A257CC"/>
    <w:rsid w:val="00A2715D"/>
    <w:rsid w:val="00A27902"/>
    <w:rsid w:val="00A30CE6"/>
    <w:rsid w:val="00A35645"/>
    <w:rsid w:val="00A364D8"/>
    <w:rsid w:val="00A36E1E"/>
    <w:rsid w:val="00A43FE4"/>
    <w:rsid w:val="00A509C6"/>
    <w:rsid w:val="00A5194A"/>
    <w:rsid w:val="00A617F9"/>
    <w:rsid w:val="00A73758"/>
    <w:rsid w:val="00A73790"/>
    <w:rsid w:val="00A73B7E"/>
    <w:rsid w:val="00A75493"/>
    <w:rsid w:val="00A75A0C"/>
    <w:rsid w:val="00A964F7"/>
    <w:rsid w:val="00AA3212"/>
    <w:rsid w:val="00AB1C99"/>
    <w:rsid w:val="00AB4310"/>
    <w:rsid w:val="00AC0641"/>
    <w:rsid w:val="00AD22B7"/>
    <w:rsid w:val="00AD3421"/>
    <w:rsid w:val="00AD363A"/>
    <w:rsid w:val="00AD3B79"/>
    <w:rsid w:val="00AD6ABB"/>
    <w:rsid w:val="00AE055F"/>
    <w:rsid w:val="00AE363D"/>
    <w:rsid w:val="00B03DD0"/>
    <w:rsid w:val="00B07410"/>
    <w:rsid w:val="00B139A3"/>
    <w:rsid w:val="00B17E86"/>
    <w:rsid w:val="00B17EFE"/>
    <w:rsid w:val="00B20DFA"/>
    <w:rsid w:val="00B27C17"/>
    <w:rsid w:val="00B4364F"/>
    <w:rsid w:val="00B44136"/>
    <w:rsid w:val="00B44F93"/>
    <w:rsid w:val="00B45593"/>
    <w:rsid w:val="00B516C8"/>
    <w:rsid w:val="00B52C74"/>
    <w:rsid w:val="00B55956"/>
    <w:rsid w:val="00B5604B"/>
    <w:rsid w:val="00B60C32"/>
    <w:rsid w:val="00B6462F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C215E"/>
    <w:rsid w:val="00BD70D0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3BA1"/>
    <w:rsid w:val="00C0527F"/>
    <w:rsid w:val="00C05E35"/>
    <w:rsid w:val="00C108B5"/>
    <w:rsid w:val="00C11C09"/>
    <w:rsid w:val="00C1339D"/>
    <w:rsid w:val="00C14A84"/>
    <w:rsid w:val="00C156F7"/>
    <w:rsid w:val="00C21829"/>
    <w:rsid w:val="00C225D1"/>
    <w:rsid w:val="00C227A4"/>
    <w:rsid w:val="00C25557"/>
    <w:rsid w:val="00C25C0C"/>
    <w:rsid w:val="00C25ED8"/>
    <w:rsid w:val="00C266EE"/>
    <w:rsid w:val="00C32442"/>
    <w:rsid w:val="00C33672"/>
    <w:rsid w:val="00C43A2C"/>
    <w:rsid w:val="00C43DC6"/>
    <w:rsid w:val="00C46AEA"/>
    <w:rsid w:val="00C50939"/>
    <w:rsid w:val="00C51E74"/>
    <w:rsid w:val="00C54A26"/>
    <w:rsid w:val="00C660AA"/>
    <w:rsid w:val="00C70E60"/>
    <w:rsid w:val="00C7352B"/>
    <w:rsid w:val="00C7405E"/>
    <w:rsid w:val="00C81F55"/>
    <w:rsid w:val="00C84107"/>
    <w:rsid w:val="00C90806"/>
    <w:rsid w:val="00C93122"/>
    <w:rsid w:val="00CA5CAF"/>
    <w:rsid w:val="00CB1132"/>
    <w:rsid w:val="00CB230E"/>
    <w:rsid w:val="00CB2496"/>
    <w:rsid w:val="00CB482A"/>
    <w:rsid w:val="00CB7F75"/>
    <w:rsid w:val="00CC1EA7"/>
    <w:rsid w:val="00CD222C"/>
    <w:rsid w:val="00CD24BB"/>
    <w:rsid w:val="00CD274E"/>
    <w:rsid w:val="00CD3B9C"/>
    <w:rsid w:val="00CD77A2"/>
    <w:rsid w:val="00CE0017"/>
    <w:rsid w:val="00CE2D21"/>
    <w:rsid w:val="00CE468D"/>
    <w:rsid w:val="00CF03FA"/>
    <w:rsid w:val="00CF3460"/>
    <w:rsid w:val="00CF3D40"/>
    <w:rsid w:val="00CF3F08"/>
    <w:rsid w:val="00CF468F"/>
    <w:rsid w:val="00D0109F"/>
    <w:rsid w:val="00D01EF5"/>
    <w:rsid w:val="00D05DB2"/>
    <w:rsid w:val="00D13A70"/>
    <w:rsid w:val="00D168FB"/>
    <w:rsid w:val="00D25EAF"/>
    <w:rsid w:val="00D32712"/>
    <w:rsid w:val="00D45F53"/>
    <w:rsid w:val="00D47680"/>
    <w:rsid w:val="00D51ADA"/>
    <w:rsid w:val="00D53045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1710"/>
    <w:rsid w:val="00D92D35"/>
    <w:rsid w:val="00D92DE8"/>
    <w:rsid w:val="00D9411C"/>
    <w:rsid w:val="00D94623"/>
    <w:rsid w:val="00DA1955"/>
    <w:rsid w:val="00DA2FFE"/>
    <w:rsid w:val="00DA5810"/>
    <w:rsid w:val="00DB1E90"/>
    <w:rsid w:val="00DB4ABB"/>
    <w:rsid w:val="00DB7B8C"/>
    <w:rsid w:val="00DD1ACA"/>
    <w:rsid w:val="00DD309C"/>
    <w:rsid w:val="00DD5B59"/>
    <w:rsid w:val="00DD7538"/>
    <w:rsid w:val="00DE207A"/>
    <w:rsid w:val="00DE4697"/>
    <w:rsid w:val="00DF04DF"/>
    <w:rsid w:val="00DF4268"/>
    <w:rsid w:val="00DF4525"/>
    <w:rsid w:val="00DF7D22"/>
    <w:rsid w:val="00E002BA"/>
    <w:rsid w:val="00E01A2C"/>
    <w:rsid w:val="00E01F2A"/>
    <w:rsid w:val="00E21488"/>
    <w:rsid w:val="00E253A2"/>
    <w:rsid w:val="00E27221"/>
    <w:rsid w:val="00E401BB"/>
    <w:rsid w:val="00E4160E"/>
    <w:rsid w:val="00E4196B"/>
    <w:rsid w:val="00E4634E"/>
    <w:rsid w:val="00E46814"/>
    <w:rsid w:val="00E56B5C"/>
    <w:rsid w:val="00E65EDD"/>
    <w:rsid w:val="00E666DE"/>
    <w:rsid w:val="00E7570E"/>
    <w:rsid w:val="00E774D8"/>
    <w:rsid w:val="00EA0C3B"/>
    <w:rsid w:val="00EB10C1"/>
    <w:rsid w:val="00EB4607"/>
    <w:rsid w:val="00EC6B66"/>
    <w:rsid w:val="00ED11CA"/>
    <w:rsid w:val="00ED5C7B"/>
    <w:rsid w:val="00ED65F3"/>
    <w:rsid w:val="00EE3A31"/>
    <w:rsid w:val="00EE7C91"/>
    <w:rsid w:val="00EF0407"/>
    <w:rsid w:val="00EF09F1"/>
    <w:rsid w:val="00EF0A36"/>
    <w:rsid w:val="00EF46AB"/>
    <w:rsid w:val="00EF6A90"/>
    <w:rsid w:val="00F00CAB"/>
    <w:rsid w:val="00F12D6E"/>
    <w:rsid w:val="00F13D78"/>
    <w:rsid w:val="00F15CFA"/>
    <w:rsid w:val="00F41395"/>
    <w:rsid w:val="00F4247D"/>
    <w:rsid w:val="00F42B37"/>
    <w:rsid w:val="00F43CA6"/>
    <w:rsid w:val="00F4423A"/>
    <w:rsid w:val="00F52061"/>
    <w:rsid w:val="00F616AF"/>
    <w:rsid w:val="00F629F5"/>
    <w:rsid w:val="00F63BD4"/>
    <w:rsid w:val="00F644C2"/>
    <w:rsid w:val="00F6473B"/>
    <w:rsid w:val="00F65233"/>
    <w:rsid w:val="00F70E22"/>
    <w:rsid w:val="00F72299"/>
    <w:rsid w:val="00F73AEB"/>
    <w:rsid w:val="00F81ECB"/>
    <w:rsid w:val="00F85829"/>
    <w:rsid w:val="00F86609"/>
    <w:rsid w:val="00F90A4C"/>
    <w:rsid w:val="00F90B6F"/>
    <w:rsid w:val="00F90C3A"/>
    <w:rsid w:val="00F95DBD"/>
    <w:rsid w:val="00F968E2"/>
    <w:rsid w:val="00FA1604"/>
    <w:rsid w:val="00FA36A8"/>
    <w:rsid w:val="00FB355E"/>
    <w:rsid w:val="00FB4530"/>
    <w:rsid w:val="00FB5812"/>
    <w:rsid w:val="00FB5F28"/>
    <w:rsid w:val="00FB7311"/>
    <w:rsid w:val="00FB7D8F"/>
    <w:rsid w:val="00FC7FE0"/>
    <w:rsid w:val="00FD3260"/>
    <w:rsid w:val="00FD4116"/>
    <w:rsid w:val="00FE2C74"/>
    <w:rsid w:val="00FE35EB"/>
    <w:rsid w:val="00FF3EB1"/>
    <w:rsid w:val="00FF5E0E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character" w:styleId="Forte">
    <w:name w:val="Strong"/>
    <w:uiPriority w:val="22"/>
    <w:qFormat/>
    <w:rsid w:val="005511CD"/>
    <w:rPr>
      <w:b/>
      <w:bCs/>
    </w:rPr>
  </w:style>
  <w:style w:type="paragraph" w:customStyle="1" w:styleId="Default">
    <w:name w:val="Default"/>
    <w:rsid w:val="005511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character" w:styleId="Forte">
    <w:name w:val="Strong"/>
    <w:uiPriority w:val="22"/>
    <w:qFormat/>
    <w:rsid w:val="005511CD"/>
    <w:rPr>
      <w:b/>
      <w:bCs/>
    </w:rPr>
  </w:style>
  <w:style w:type="paragraph" w:customStyle="1" w:styleId="Default">
    <w:name w:val="Default"/>
    <w:rsid w:val="005511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3B0A-8747-48F3-AA5B-EEBC07B5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2016-08-30T20:33:00Z</cp:lastPrinted>
  <dcterms:created xsi:type="dcterms:W3CDTF">2016-11-21T18:05:00Z</dcterms:created>
  <dcterms:modified xsi:type="dcterms:W3CDTF">2016-11-21T18:57:00Z</dcterms:modified>
</cp:coreProperties>
</file>