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0"/>
        <w:gridCol w:w="180"/>
        <w:gridCol w:w="8370"/>
      </w:tblGrid>
      <w:tr w:rsidR="00A73D80" w:rsidRPr="009C1605" w:rsidTr="00A35CFA">
        <w:tc>
          <w:tcPr>
            <w:tcW w:w="1240" w:type="dxa"/>
          </w:tcPr>
          <w:p w:rsidR="00A73D80" w:rsidRPr="009C1605" w:rsidRDefault="00A73D80" w:rsidP="00A35CFA">
            <w:pPr>
              <w:rPr>
                <w:b/>
                <w:smallCaps/>
              </w:rPr>
            </w:pPr>
            <w:r w:rsidRPr="009C1605">
              <w:rPr>
                <w:b/>
                <w:smallCaps/>
              </w:rPr>
              <w:t>Assunto</w:t>
            </w:r>
          </w:p>
        </w:tc>
        <w:tc>
          <w:tcPr>
            <w:tcW w:w="180" w:type="dxa"/>
          </w:tcPr>
          <w:p w:rsidR="00A73D80" w:rsidRPr="009C1605" w:rsidRDefault="00A73D80" w:rsidP="00A35CFA">
            <w:pPr>
              <w:rPr>
                <w:b/>
                <w:smallCaps/>
              </w:rPr>
            </w:pPr>
            <w:r w:rsidRPr="009C1605">
              <w:rPr>
                <w:b/>
                <w:smallCaps/>
              </w:rPr>
              <w:t>:</w:t>
            </w:r>
          </w:p>
        </w:tc>
        <w:tc>
          <w:tcPr>
            <w:tcW w:w="8370" w:type="dxa"/>
          </w:tcPr>
          <w:p w:rsidR="00A73D80" w:rsidRPr="009C1605" w:rsidRDefault="00D36B85" w:rsidP="00D36B85">
            <w:pPr>
              <w:rPr>
                <w:smallCaps/>
              </w:rPr>
            </w:pPr>
            <w:r>
              <w:rPr>
                <w:smallCaps/>
              </w:rPr>
              <w:t xml:space="preserve">Fornecimento de combustível para abastecimento de aeronaves estrangeiras – Equiparação à Exportação – Necessidade de cumprimento das disposições do </w:t>
            </w:r>
            <w:r w:rsidRPr="00D36B85">
              <w:rPr>
                <w:smallCaps/>
              </w:rPr>
              <w:t xml:space="preserve">Convênio </w:t>
            </w:r>
            <w:r>
              <w:rPr>
                <w:smallCaps/>
              </w:rPr>
              <w:t>ICM 12/75</w:t>
            </w:r>
          </w:p>
        </w:tc>
      </w:tr>
      <w:tr w:rsidR="00A73D80" w:rsidRPr="009C1605" w:rsidTr="00A35CFA">
        <w:tc>
          <w:tcPr>
            <w:tcW w:w="1240" w:type="dxa"/>
          </w:tcPr>
          <w:p w:rsidR="00A73D80" w:rsidRPr="009C1605" w:rsidRDefault="00A73D80" w:rsidP="00A35CFA">
            <w:pPr>
              <w:rPr>
                <w:b/>
                <w:smallCaps/>
              </w:rPr>
            </w:pPr>
          </w:p>
        </w:tc>
        <w:tc>
          <w:tcPr>
            <w:tcW w:w="180" w:type="dxa"/>
          </w:tcPr>
          <w:p w:rsidR="00A73D80" w:rsidRPr="009C1605" w:rsidRDefault="00A73D80" w:rsidP="00A35CFA">
            <w:pPr>
              <w:rPr>
                <w:b/>
                <w:smallCaps/>
              </w:rPr>
            </w:pPr>
          </w:p>
        </w:tc>
        <w:tc>
          <w:tcPr>
            <w:tcW w:w="8370" w:type="dxa"/>
          </w:tcPr>
          <w:p w:rsidR="00A73D80" w:rsidRPr="009C1605" w:rsidRDefault="00A73D80" w:rsidP="007D509D">
            <w:pPr>
              <w:jc w:val="center"/>
              <w:rPr>
                <w:b/>
                <w:smallCaps/>
              </w:rPr>
            </w:pPr>
            <w:r w:rsidRPr="009C1605">
              <w:rPr>
                <w:b/>
                <w:smallCaps/>
              </w:rPr>
              <w:t xml:space="preserve">                         </w:t>
            </w:r>
            <w:r w:rsidR="006F6FDE">
              <w:rPr>
                <w:b/>
                <w:smallCaps/>
              </w:rPr>
              <w:t xml:space="preserve">                          </w:t>
            </w:r>
            <w:r w:rsidR="000A1E19">
              <w:rPr>
                <w:b/>
                <w:smallCaps/>
              </w:rPr>
              <w:t xml:space="preserve">     </w:t>
            </w:r>
            <w:r w:rsidR="00D36B85">
              <w:rPr>
                <w:b/>
                <w:smallCaps/>
              </w:rPr>
              <w:t>Recurso à</w:t>
            </w:r>
            <w:r w:rsidR="000A1E19">
              <w:rPr>
                <w:b/>
                <w:smallCaps/>
              </w:rPr>
              <w:t xml:space="preserve"> </w:t>
            </w:r>
            <w:r w:rsidRPr="009C1605">
              <w:rPr>
                <w:b/>
                <w:smallCaps/>
              </w:rPr>
              <w:t>Consulta n°</w:t>
            </w:r>
            <w:r w:rsidR="00D36B85">
              <w:rPr>
                <w:b/>
                <w:smallCaps/>
              </w:rPr>
              <w:t xml:space="preserve"> 110/2017 –</w:t>
            </w:r>
            <w:r w:rsidR="007D509D">
              <w:rPr>
                <w:b/>
                <w:smallCaps/>
              </w:rPr>
              <w:t xml:space="preserve"> </w:t>
            </w:r>
            <w:r w:rsidR="00D36B85">
              <w:rPr>
                <w:b/>
                <w:smallCaps/>
              </w:rPr>
              <w:t>Provimento</w:t>
            </w:r>
            <w:r w:rsidRPr="009C1605">
              <w:rPr>
                <w:b/>
                <w:smallCaps/>
              </w:rPr>
              <w:t xml:space="preserve"> </w:t>
            </w:r>
          </w:p>
        </w:tc>
      </w:tr>
    </w:tbl>
    <w:p w:rsidR="00A73D80" w:rsidRPr="009C1605" w:rsidRDefault="00A73D80" w:rsidP="00A73D80">
      <w:pPr>
        <w:ind w:right="-671" w:firstLine="432"/>
        <w:rPr>
          <w:b/>
          <w:smallCaps/>
        </w:rPr>
      </w:pPr>
    </w:p>
    <w:p w:rsidR="00072222" w:rsidRDefault="00072222" w:rsidP="000A1E19">
      <w:pPr>
        <w:ind w:right="-671" w:firstLine="432"/>
        <w:rPr>
          <w:b/>
          <w:smallCaps/>
        </w:rPr>
      </w:pPr>
    </w:p>
    <w:p w:rsidR="00A73D80" w:rsidRPr="009C1605" w:rsidRDefault="00A73D80" w:rsidP="00775DE1">
      <w:pPr>
        <w:ind w:right="-671" w:firstLine="432"/>
        <w:rPr>
          <w:bCs/>
        </w:rPr>
      </w:pPr>
    </w:p>
    <w:p w:rsidR="00341887" w:rsidRDefault="00D36B85" w:rsidP="00775DE1">
      <w:pPr>
        <w:ind w:right="-671" w:firstLine="432"/>
      </w:pPr>
      <w:r>
        <w:t>O contribuinte não conformado com a resposta de fls. 37/47, dada à consulta formulada na inicial, apresentou recurso de fls. 53/62, mediante o qual apresenta os seguintes argumentos:</w:t>
      </w:r>
    </w:p>
    <w:p w:rsidR="00D36B85" w:rsidRDefault="00D36B85" w:rsidP="00775DE1">
      <w:pPr>
        <w:ind w:right="-671" w:firstLine="432"/>
      </w:pPr>
    </w:p>
    <w:p w:rsidR="00D36B85" w:rsidRDefault="00D36B85" w:rsidP="00775DE1">
      <w:pPr>
        <w:ind w:right="-671" w:firstLine="432"/>
      </w:pPr>
      <w:r>
        <w:t xml:space="preserve">1 </w:t>
      </w:r>
      <w:r w:rsidR="00BC5461">
        <w:t>–</w:t>
      </w:r>
      <w:r>
        <w:t xml:space="preserve"> </w:t>
      </w:r>
      <w:r w:rsidR="00BC5461">
        <w:t>a competência para legislar sobre matéria-aduaneira e comércio exterior é privativa da União, não podendo os estados instituírem condições inexistentes na legislação federal;</w:t>
      </w:r>
    </w:p>
    <w:p w:rsidR="00BC5461" w:rsidRDefault="00BC5461" w:rsidP="00775DE1">
      <w:pPr>
        <w:ind w:right="-671" w:firstLine="432"/>
      </w:pPr>
    </w:p>
    <w:p w:rsidR="00396CE8" w:rsidRDefault="00BC5461" w:rsidP="00775DE1">
      <w:pPr>
        <w:ind w:right="-671" w:firstLine="432"/>
      </w:pPr>
      <w:r>
        <w:t xml:space="preserve">2 </w:t>
      </w:r>
      <w:r w:rsidR="00396CE8">
        <w:t>–</w:t>
      </w:r>
      <w:r>
        <w:t xml:space="preserve"> </w:t>
      </w:r>
      <w:r w:rsidR="00396CE8">
        <w:t>a Portaria SECEX nº 15/04, em seu artigo 25, dispõe:</w:t>
      </w:r>
    </w:p>
    <w:p w:rsidR="00396CE8" w:rsidRDefault="00396CE8" w:rsidP="00396CE8">
      <w:pPr>
        <w:ind w:left="432" w:right="-1" w:firstLine="432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“</w:t>
      </w:r>
      <w:r w:rsidRPr="00396CE8">
        <w:rPr>
          <w:rFonts w:asciiTheme="minorHAnsi" w:hAnsiTheme="minorHAnsi"/>
          <w:i/>
        </w:rPr>
        <w:t xml:space="preserve">Art. 25. Constitui-se em exportação, para os efeitos fiscais e cambiais previstos na legislação vigente, o fornecimento de combustíveis, lubrificantes e demais mercadorias destinadas a uso e consumo de bordo, em embarcações ou aeronaves, exclusivamente de tráfego internacional, de bandeira brasileira ou estrangeira. </w:t>
      </w:r>
    </w:p>
    <w:p w:rsidR="00775DE1" w:rsidRPr="00396CE8" w:rsidRDefault="00396CE8" w:rsidP="00396CE8">
      <w:pPr>
        <w:ind w:left="432" w:right="-1" w:firstLine="432"/>
        <w:rPr>
          <w:rFonts w:asciiTheme="minorHAnsi" w:hAnsiTheme="minorHAnsi"/>
          <w:i/>
        </w:rPr>
      </w:pPr>
      <w:r w:rsidRPr="00396CE8">
        <w:rPr>
          <w:rFonts w:asciiTheme="minorHAnsi" w:hAnsiTheme="minorHAnsi"/>
          <w:i/>
        </w:rPr>
        <w:t>Parágrafo único. Considera-se, para os fins deste artigo, o fornecimento de mercadorias para consumo e uso a bordo, qualquer que seja a finalidade do produto a bordo, devendo este se destinar exclusivamente ao consumo da tripulação e passageiros, ao uso ou consumo da própria embarcação ou aeronave, bem como a sua conservação ou manutenção</w:t>
      </w:r>
      <w:r>
        <w:rPr>
          <w:rFonts w:asciiTheme="minorHAnsi" w:hAnsiTheme="minorHAnsi"/>
          <w:i/>
        </w:rPr>
        <w:t>.”</w:t>
      </w:r>
    </w:p>
    <w:p w:rsidR="00396CE8" w:rsidRDefault="00396CE8" w:rsidP="00775DE1">
      <w:pPr>
        <w:ind w:right="-671" w:firstLine="432"/>
      </w:pPr>
    </w:p>
    <w:p w:rsidR="00396CE8" w:rsidRDefault="00396CE8" w:rsidP="00775DE1">
      <w:pPr>
        <w:ind w:right="-671" w:firstLine="432"/>
      </w:pPr>
      <w:r>
        <w:t xml:space="preserve">3 – A legislação federal considera as </w:t>
      </w:r>
      <w:r>
        <w:rPr>
          <w:bCs/>
        </w:rPr>
        <w:t>operações</w:t>
      </w:r>
      <w:r>
        <w:t xml:space="preserve"> em análise no presente como exportaç</w:t>
      </w:r>
      <w:r w:rsidR="002260F0">
        <w:t>ões</w:t>
      </w:r>
      <w:r>
        <w:t xml:space="preserve"> e não a ela</w:t>
      </w:r>
      <w:r w:rsidR="002260F0">
        <w:t>s</w:t>
      </w:r>
      <w:r>
        <w:t xml:space="preserve"> equiparada</w:t>
      </w:r>
      <w:r w:rsidR="002260F0">
        <w:t>s</w:t>
      </w:r>
      <w:r>
        <w:t>, sendo exigível o Registro de Exportação (RE), nos termos do artigo 186 da Portaria SECEX 186/11;</w:t>
      </w:r>
    </w:p>
    <w:p w:rsidR="00396CE8" w:rsidRDefault="00396CE8" w:rsidP="00775DE1">
      <w:pPr>
        <w:ind w:right="-671" w:firstLine="432"/>
      </w:pPr>
    </w:p>
    <w:p w:rsidR="00396CE8" w:rsidRDefault="00396CE8" w:rsidP="00775DE1">
      <w:pPr>
        <w:ind w:right="-671" w:firstLine="432"/>
      </w:pPr>
      <w:r>
        <w:t xml:space="preserve">4 </w:t>
      </w:r>
      <w:r w:rsidR="00B03129">
        <w:t>–</w:t>
      </w:r>
      <w:r>
        <w:t xml:space="preserve"> </w:t>
      </w:r>
      <w:r w:rsidR="00B03129">
        <w:t>a competência reguladora da União</w:t>
      </w:r>
      <w:r w:rsidR="00196570">
        <w:t xml:space="preserve"> deve preponderar em face das competências dos estados em exigir o ICMS;</w:t>
      </w:r>
    </w:p>
    <w:p w:rsidR="00196570" w:rsidRDefault="00196570" w:rsidP="00775DE1">
      <w:pPr>
        <w:ind w:right="-671" w:firstLine="432"/>
      </w:pPr>
    </w:p>
    <w:p w:rsidR="00196570" w:rsidRDefault="00196570" w:rsidP="00196570">
      <w:pPr>
        <w:ind w:right="-671" w:firstLine="432"/>
      </w:pPr>
      <w:r>
        <w:t xml:space="preserve">5 – </w:t>
      </w:r>
      <w:r w:rsidR="002260F0">
        <w:t>aplica-se a</w:t>
      </w:r>
      <w:r>
        <w:t>o fornecimento de combustíveis para abastecimento de aeronaves estrangeiras o disposto no inciso X, alínea “a”, do § 2º do artigo 155 da Constituição Federal</w:t>
      </w:r>
      <w:r w:rsidR="002260F0">
        <w:t>, independentemente de a mercadoria ser faturada a portador de CNPJ</w:t>
      </w:r>
      <w:r>
        <w:t>;</w:t>
      </w:r>
    </w:p>
    <w:p w:rsidR="00196570" w:rsidRDefault="00196570" w:rsidP="00196570">
      <w:pPr>
        <w:ind w:right="-671" w:firstLine="432"/>
      </w:pPr>
    </w:p>
    <w:p w:rsidR="00196570" w:rsidRDefault="002260F0" w:rsidP="00196570">
      <w:pPr>
        <w:ind w:right="-671" w:firstLine="432"/>
      </w:pPr>
      <w:r>
        <w:t xml:space="preserve">6 – a inscrição de companhia estrangeira no CNPJ está prevista na Resolução do Banco Central nº 2025/93 e na Circular nº 3691/13 </w:t>
      </w:r>
      <w:r w:rsidR="00550D88">
        <w:t xml:space="preserve">e </w:t>
      </w:r>
      <w:r>
        <w:t>não lhe retira o caráter de pessoa jurídica com sede no exterior</w:t>
      </w:r>
      <w:r w:rsidR="00550D88">
        <w:t xml:space="preserve">, uma vez que </w:t>
      </w:r>
      <w:r w:rsidR="00550D88" w:rsidRPr="00550D88">
        <w:rPr>
          <w:i/>
        </w:rPr>
        <w:t>“as movimentações ocorridas em contas de empresa estrangeira que tenha um CNPJ ainda assim se caracterizam como ingressos de recursos no Brasil”</w:t>
      </w:r>
      <w:r w:rsidR="00550D88">
        <w:t>.</w:t>
      </w:r>
    </w:p>
    <w:p w:rsidR="00550D88" w:rsidRDefault="00550D88" w:rsidP="00196570">
      <w:pPr>
        <w:ind w:right="-671" w:firstLine="432"/>
      </w:pPr>
    </w:p>
    <w:p w:rsidR="00550D88" w:rsidRDefault="00550D88" w:rsidP="00196570">
      <w:pPr>
        <w:ind w:right="-671" w:firstLine="432"/>
      </w:pPr>
      <w:r>
        <w:t>Ante o exposto, requer seja dado provimento ao recurso a fim de que seja confirmado seu entendimento, nos termos abaixo:</w:t>
      </w:r>
    </w:p>
    <w:p w:rsidR="00550D88" w:rsidRDefault="00550D88" w:rsidP="00196570">
      <w:pPr>
        <w:ind w:right="-671" w:firstLine="432"/>
      </w:pPr>
    </w:p>
    <w:p w:rsidR="00550D88" w:rsidRDefault="00550D88" w:rsidP="00196570">
      <w:pPr>
        <w:ind w:right="-671" w:firstLine="432"/>
      </w:pPr>
      <w:r>
        <w:lastRenderedPageBreak/>
        <w:t xml:space="preserve"> a) A operação de fornecimento de combustível destinado ao consumo de aeronaves estrangeiras utilizadas exclusivamente em tráfego aéreo internacional é considerada como exportação para todos os fins fiscais devendo ser desonerada do ICMS, nos termos do artigo 155, § 2º, inciso X, alínea “a”;</w:t>
      </w:r>
    </w:p>
    <w:p w:rsidR="00550D88" w:rsidRDefault="00550D88" w:rsidP="00196570">
      <w:pPr>
        <w:ind w:right="-671" w:firstLine="432"/>
      </w:pPr>
    </w:p>
    <w:p w:rsidR="00550D88" w:rsidRDefault="00550D88" w:rsidP="00196570">
      <w:pPr>
        <w:ind w:right="-671" w:firstLine="432"/>
      </w:pPr>
      <w:r>
        <w:t>b) Ainda que se entenda que os requisitos do Convênio ICM 12/75 devam ser atendidos</w:t>
      </w:r>
      <w:r w:rsidR="00125BDE">
        <w:t>,</w:t>
      </w:r>
      <w:r>
        <w:t xml:space="preserve"> </w:t>
      </w:r>
      <w:r w:rsidR="00125BDE">
        <w:t xml:space="preserve">o fato de seus </w:t>
      </w:r>
      <w:r>
        <w:t xml:space="preserve">clientes internacionais </w:t>
      </w:r>
      <w:r w:rsidR="00125BDE">
        <w:t xml:space="preserve">serem </w:t>
      </w:r>
      <w:r>
        <w:t xml:space="preserve">inscritos </w:t>
      </w:r>
      <w:r w:rsidR="00125BDE">
        <w:t xml:space="preserve">no CNPJ </w:t>
      </w:r>
      <w:r>
        <w:t>sob o código específico de natureza 217-8</w:t>
      </w:r>
      <w:r w:rsidR="00125BDE">
        <w:t xml:space="preserve"> não caracteriza seu descumprimento</w:t>
      </w:r>
      <w:r>
        <w:t xml:space="preserve">, </w:t>
      </w:r>
    </w:p>
    <w:p w:rsidR="00125BDE" w:rsidRDefault="00125BDE" w:rsidP="00196570">
      <w:pPr>
        <w:ind w:right="-671" w:firstLine="432"/>
      </w:pPr>
    </w:p>
    <w:p w:rsidR="00125BDE" w:rsidRDefault="00125BDE" w:rsidP="00196570">
      <w:pPr>
        <w:ind w:right="-671" w:firstLine="432"/>
      </w:pPr>
      <w:r>
        <w:t xml:space="preserve">c) </w:t>
      </w:r>
      <w:r w:rsidR="00561E56">
        <w:t>A exigência de pagamento em moeda estrangeira conversível será considerada atendida, ainda que o pagamento se dê por meio de débito em conta em moeda nacional mantida pela companhia aérea estrangeira no Brasil, uma vez que o Banco Central define essas movimentações como ingresso de recurso</w:t>
      </w:r>
      <w:r w:rsidR="007D509D">
        <w:t>s</w:t>
      </w:r>
      <w:r w:rsidR="00561E56">
        <w:t xml:space="preserve"> no</w:t>
      </w:r>
      <w:r w:rsidR="007D509D">
        <w:t xml:space="preserve"> país.</w:t>
      </w:r>
      <w:r w:rsidR="00561E56">
        <w:t xml:space="preserve"> </w:t>
      </w:r>
    </w:p>
    <w:p w:rsidR="00A73D80" w:rsidRDefault="00BC5461" w:rsidP="00F64488">
      <w:pPr>
        <w:pStyle w:val="Ttulo5"/>
        <w:ind w:right="-669" w:firstLine="431"/>
        <w:rPr>
          <w:rFonts w:ascii="Arial" w:hAnsi="Arial" w:cs="Arial"/>
          <w:b/>
          <w:smallCaps/>
          <w:color w:val="auto"/>
        </w:rPr>
      </w:pPr>
      <w:r>
        <w:rPr>
          <w:rFonts w:ascii="Arial" w:hAnsi="Arial" w:cs="Arial"/>
          <w:b/>
          <w:smallCaps/>
          <w:color w:val="auto"/>
        </w:rPr>
        <w:t>Parecer</w:t>
      </w:r>
    </w:p>
    <w:p w:rsidR="000A1E19" w:rsidRDefault="000A1E19" w:rsidP="00F64488">
      <w:pPr>
        <w:ind w:right="-669" w:firstLine="431"/>
      </w:pPr>
    </w:p>
    <w:p w:rsidR="00F64488" w:rsidRDefault="00F64488" w:rsidP="00F64488">
      <w:pPr>
        <w:ind w:right="-669" w:firstLine="431"/>
      </w:pPr>
      <w:r>
        <w:t>Considerando que:</w:t>
      </w:r>
    </w:p>
    <w:p w:rsidR="00F64488" w:rsidRDefault="00F64488" w:rsidP="00F64488">
      <w:pPr>
        <w:ind w:right="-669" w:firstLine="431"/>
      </w:pPr>
    </w:p>
    <w:p w:rsidR="00775DE1" w:rsidRDefault="00F64488" w:rsidP="00F64488">
      <w:pPr>
        <w:ind w:right="-669" w:firstLine="431"/>
      </w:pPr>
      <w:r>
        <w:t>1 - o</w:t>
      </w:r>
      <w:r w:rsidR="00032FFA">
        <w:t xml:space="preserve"> inciso VIII do artigo 22 da Constituição da República Federativa do Brasil determina a competência exclusiva </w:t>
      </w:r>
      <w:r w:rsidR="007B6027">
        <w:t>da</w:t>
      </w:r>
      <w:r w:rsidR="00032FFA">
        <w:t xml:space="preserve"> União para legislar sobre o comércio exterior</w:t>
      </w:r>
      <w:r>
        <w:t>;</w:t>
      </w:r>
      <w:r w:rsidR="00032FFA">
        <w:t xml:space="preserve"> </w:t>
      </w:r>
    </w:p>
    <w:p w:rsidR="00F64488" w:rsidRDefault="00F64488" w:rsidP="00F64488">
      <w:pPr>
        <w:ind w:right="-669" w:firstLine="431"/>
      </w:pPr>
    </w:p>
    <w:p w:rsidR="00F64488" w:rsidRDefault="00F64488" w:rsidP="00F64488">
      <w:pPr>
        <w:ind w:right="-669" w:firstLine="431"/>
      </w:pPr>
      <w:r>
        <w:t xml:space="preserve">2 - a Portaria SECEX nº 15, de 17/11/2004, em seu artigo 25, dispõe que </w:t>
      </w:r>
      <w:r w:rsidRPr="00F64488">
        <w:t>o fornecimento de combustíveis, destinadas a uso em aeronaves, exclusivamente de tráfego internacional</w:t>
      </w:r>
      <w:r>
        <w:t>, caracteriza-se como</w:t>
      </w:r>
      <w:r w:rsidRPr="00F64488">
        <w:t xml:space="preserve"> exportação, para os efeitos fiscais e cambiais previstos na legislação vigente</w:t>
      </w:r>
      <w:r>
        <w:t>;</w:t>
      </w:r>
    </w:p>
    <w:p w:rsidR="00F64488" w:rsidRDefault="00F64488" w:rsidP="00F64488">
      <w:pPr>
        <w:ind w:right="-669" w:firstLine="431"/>
      </w:pPr>
    </w:p>
    <w:p w:rsidR="001A145D" w:rsidRDefault="00F64488" w:rsidP="00F64488">
      <w:pPr>
        <w:ind w:right="-669" w:firstLine="431"/>
      </w:pPr>
      <w:r>
        <w:t xml:space="preserve">3 - a inscrição no CNPJ e a abertura de contas correntes no Brasil não </w:t>
      </w:r>
      <w:r w:rsidR="001A145D">
        <w:t xml:space="preserve">implica </w:t>
      </w:r>
      <w:r>
        <w:t xml:space="preserve">a </w:t>
      </w:r>
      <w:r w:rsidR="001A145D">
        <w:t xml:space="preserve">perda de </w:t>
      </w:r>
      <w:r>
        <w:t xml:space="preserve">condição de pessoa jurídica </w:t>
      </w:r>
      <w:r w:rsidR="001A145D">
        <w:t>estrangeira com sede no exterior;</w:t>
      </w:r>
    </w:p>
    <w:p w:rsidR="001A145D" w:rsidRDefault="001A145D" w:rsidP="00F64488">
      <w:pPr>
        <w:ind w:right="-669" w:firstLine="431"/>
      </w:pPr>
    </w:p>
    <w:p w:rsidR="001A145D" w:rsidRDefault="001A145D" w:rsidP="00F64488">
      <w:pPr>
        <w:ind w:right="-669" w:firstLine="431"/>
      </w:pPr>
      <w:r>
        <w:t xml:space="preserve">4 - as movimentações nessas contas correntes são </w:t>
      </w:r>
      <w:r w:rsidR="007F2BBB">
        <w:t>caracterizadas</w:t>
      </w:r>
      <w:r>
        <w:t xml:space="preserve"> como ingressos de recursos no Brasil, nos termos da legislação editada pelo Banco Central;</w:t>
      </w:r>
    </w:p>
    <w:p w:rsidR="001A145D" w:rsidRDefault="001A145D" w:rsidP="00F64488">
      <w:pPr>
        <w:ind w:right="-669" w:firstLine="431"/>
      </w:pPr>
      <w:r>
        <w:t xml:space="preserve"> </w:t>
      </w:r>
    </w:p>
    <w:p w:rsidR="00F64488" w:rsidRDefault="001A145D" w:rsidP="00F64488">
      <w:pPr>
        <w:ind w:right="-669" w:firstLine="431"/>
      </w:pPr>
      <w:r>
        <w:t xml:space="preserve">5 – o fornecimento de combustíveis destinados a consumo em aeronaves exclusivamente de tráfego internacional de companhias aéreas de bandeira estrangeira deve ser objeto de despacho aduaneiro, nos termos da Portaria SECEX nº 33, de 14.07.2011, </w:t>
      </w:r>
    </w:p>
    <w:p w:rsidR="00F64488" w:rsidRDefault="00F64488" w:rsidP="00F64488">
      <w:pPr>
        <w:ind w:right="-669" w:firstLine="431"/>
      </w:pPr>
    </w:p>
    <w:p w:rsidR="001A145D" w:rsidRDefault="001A145D" w:rsidP="00F64488">
      <w:pPr>
        <w:ind w:right="-669" w:firstLine="431"/>
      </w:pPr>
      <w:r>
        <w:t xml:space="preserve">Opino pelo </w:t>
      </w:r>
      <w:r w:rsidRPr="001A145D">
        <w:rPr>
          <w:b/>
        </w:rPr>
        <w:t>PROVIMENTO</w:t>
      </w:r>
      <w:r>
        <w:t xml:space="preserve"> do recurso interposto pelo contribuinte, a fim de que seja </w:t>
      </w:r>
      <w:r w:rsidR="002011FA">
        <w:t>modificada a resposta de fls. 37/47, nos seguintes termos:</w:t>
      </w:r>
    </w:p>
    <w:p w:rsidR="002011FA" w:rsidRDefault="002011FA" w:rsidP="00F64488">
      <w:pPr>
        <w:ind w:right="-669" w:firstLine="431"/>
      </w:pPr>
    </w:p>
    <w:p w:rsidR="002011FA" w:rsidRDefault="002011FA" w:rsidP="00F64488">
      <w:pPr>
        <w:ind w:right="-669" w:firstLine="431"/>
      </w:pPr>
      <w:r>
        <w:t>Resposta:</w:t>
      </w:r>
    </w:p>
    <w:p w:rsidR="002011FA" w:rsidRDefault="002011FA" w:rsidP="00F64488">
      <w:pPr>
        <w:ind w:right="-669" w:firstLine="431"/>
      </w:pPr>
    </w:p>
    <w:p w:rsidR="002011FA" w:rsidRDefault="002011FA" w:rsidP="00F64488">
      <w:pPr>
        <w:ind w:right="-669" w:firstLine="431"/>
      </w:pPr>
      <w:r>
        <w:t xml:space="preserve">a) Sim, o fornecimento de fornecimento de combustível destinado ao consumo de aeronaves estrangeiras utilizadas exclusivamente em tráfego aéreo internacional é </w:t>
      </w:r>
      <w:r w:rsidR="007F2BBB">
        <w:t>considerado</w:t>
      </w:r>
      <w:r>
        <w:t xml:space="preserve"> como exportação para todos os fins fiscais devendo ser desonerada do ICMS, nos termos do artigo 155, § 2º, inciso X, alínea “a”.</w:t>
      </w:r>
    </w:p>
    <w:p w:rsidR="002011FA" w:rsidRDefault="002011FA" w:rsidP="00F64488">
      <w:pPr>
        <w:ind w:right="-669" w:firstLine="431"/>
      </w:pPr>
    </w:p>
    <w:p w:rsidR="002011FA" w:rsidRDefault="002011FA" w:rsidP="00F64488">
      <w:pPr>
        <w:ind w:right="-669" w:firstLine="431"/>
      </w:pPr>
      <w:r>
        <w:lastRenderedPageBreak/>
        <w:t>b</w:t>
      </w:r>
      <w:r w:rsidR="0005358E">
        <w:t xml:space="preserve"> e c</w:t>
      </w:r>
      <w:r>
        <w:t>) Os requisitos previstos no Convênio ICM 12/75 devem ser atendidos, observada a legislação aduane</w:t>
      </w:r>
      <w:r w:rsidR="0005358E">
        <w:t>ira atualmente em vigor, cabendo observar que a inscrição no CNPJ, sob o código 217-8, e a abertura de conta corrente no Brasil nos termos da Circular BACEN nº 3691/2013 não implica a perda de condição de pessoa jurídica estrangeira com sede no exterior.</w:t>
      </w:r>
    </w:p>
    <w:p w:rsidR="00BC5461" w:rsidRPr="000A1E19" w:rsidRDefault="00F64488" w:rsidP="00775DE1">
      <w:pPr>
        <w:ind w:right="-671" w:firstLine="432"/>
      </w:pPr>
      <w:r>
        <w:t xml:space="preserve"> </w:t>
      </w:r>
    </w:p>
    <w:p w:rsidR="00341887" w:rsidRDefault="00775DE1" w:rsidP="00775DE1">
      <w:pPr>
        <w:ind w:right="-671" w:firstLine="432"/>
      </w:pPr>
      <w:r>
        <w:t>Esta consulta não produzirá os efeitos que lhe são próprios caso seja editada norma superveniente que disponha de forma contrária à resposta dada no presente processo</w:t>
      </w:r>
    </w:p>
    <w:p w:rsidR="00775DE1" w:rsidRDefault="00775DE1" w:rsidP="00775DE1">
      <w:pPr>
        <w:ind w:right="-671" w:firstLine="432"/>
      </w:pPr>
    </w:p>
    <w:p w:rsidR="009C1605" w:rsidRPr="009C1605" w:rsidRDefault="009C1605" w:rsidP="009C1605">
      <w:pPr>
        <w:ind w:right="-671" w:firstLine="432"/>
      </w:pPr>
    </w:p>
    <w:p w:rsidR="009C1605" w:rsidRPr="009C1605" w:rsidRDefault="009C1605" w:rsidP="009C1605">
      <w:pPr>
        <w:ind w:right="-671" w:firstLine="432"/>
      </w:pPr>
      <w:r w:rsidRPr="009C1605">
        <w:t xml:space="preserve">CCJT, em </w:t>
      </w:r>
      <w:r w:rsidR="0005358E">
        <w:t>12</w:t>
      </w:r>
      <w:r w:rsidR="00B138B9">
        <w:t xml:space="preserve"> </w:t>
      </w:r>
      <w:r w:rsidRPr="009C1605">
        <w:t xml:space="preserve">de </w:t>
      </w:r>
      <w:r w:rsidR="0005358E">
        <w:t>janeiro</w:t>
      </w:r>
      <w:r w:rsidR="00775DE1">
        <w:t xml:space="preserve"> </w:t>
      </w:r>
      <w:r w:rsidRPr="009C1605">
        <w:t>de 201</w:t>
      </w:r>
      <w:r w:rsidR="0046302A">
        <w:t>8</w:t>
      </w:r>
      <w:r w:rsidR="007F2BBB">
        <w:t>.</w:t>
      </w:r>
    </w:p>
    <w:p w:rsidR="009C1605" w:rsidRPr="009C1605" w:rsidRDefault="009C1605" w:rsidP="009C1605">
      <w:pPr>
        <w:ind w:right="-671" w:firstLine="432"/>
      </w:pPr>
    </w:p>
    <w:p w:rsidR="009C1605" w:rsidRPr="009C1605" w:rsidRDefault="009C1605" w:rsidP="009C1605">
      <w:pPr>
        <w:ind w:right="-671" w:firstLine="432"/>
        <w:jc w:val="center"/>
      </w:pPr>
    </w:p>
    <w:sectPr w:rsidR="009C1605" w:rsidRPr="009C1605" w:rsidSect="00C25B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37" w:footer="708" w:gutter="0"/>
      <w:pgNumType w:start="9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C8B" w:rsidRDefault="00004C8B" w:rsidP="001B1CDD">
      <w:r>
        <w:separator/>
      </w:r>
    </w:p>
  </w:endnote>
  <w:endnote w:type="continuationSeparator" w:id="0">
    <w:p w:rsidR="00004C8B" w:rsidRDefault="00004C8B" w:rsidP="001B1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B4C" w:rsidRDefault="00C25B4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B4C" w:rsidRDefault="00C25B4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B4C" w:rsidRDefault="00C25B4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C8B" w:rsidRDefault="00004C8B" w:rsidP="001B1CDD">
      <w:r>
        <w:separator/>
      </w:r>
    </w:p>
  </w:footnote>
  <w:footnote w:type="continuationSeparator" w:id="0">
    <w:p w:rsidR="00004C8B" w:rsidRDefault="00004C8B" w:rsidP="001B1C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B4C" w:rsidRDefault="00C25B4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5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310"/>
      <w:gridCol w:w="2765"/>
    </w:tblGrid>
    <w:tr w:rsidR="00004C8B" w:rsidTr="001B1CDD">
      <w:trPr>
        <w:cantSplit/>
        <w:trHeight w:val="1180"/>
      </w:trPr>
      <w:tc>
        <w:tcPr>
          <w:tcW w:w="6307" w:type="dxa"/>
        </w:tcPr>
        <w:p w:rsidR="00004C8B" w:rsidRDefault="00004C8B">
          <w:pPr>
            <w:pStyle w:val="Cabealho"/>
            <w:spacing w:line="276" w:lineRule="auto"/>
            <w:ind w:left="1276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  <w:lang w:eastAsia="pt-BR"/>
            </w:rPr>
            <w:drawing>
              <wp:inline distT="0" distB="0" distL="0" distR="0" wp14:anchorId="75B385A1" wp14:editId="031A69C1">
                <wp:extent cx="911250" cy="900000"/>
                <wp:effectExtent l="0" t="0" r="3175" b="0"/>
                <wp:docPr id="1" name="Imagem 1" descr="C:\Users\wsantiago\Desktop\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wsantiago\Desktop\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1250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04C8B" w:rsidRPr="001B1CDD" w:rsidRDefault="00004C8B" w:rsidP="001B1CDD">
          <w:pPr>
            <w:ind w:left="851"/>
            <w:jc w:val="center"/>
            <w:rPr>
              <w:b/>
              <w:szCs w:val="20"/>
            </w:rPr>
          </w:pPr>
          <w:r w:rsidRPr="001B1CDD">
            <w:rPr>
              <w:b/>
              <w:szCs w:val="20"/>
            </w:rPr>
            <w:t>Governo do Estado do Rio de Janeiro</w:t>
          </w:r>
        </w:p>
        <w:p w:rsidR="00004C8B" w:rsidRPr="001B1CDD" w:rsidRDefault="00004C8B" w:rsidP="001B1CDD">
          <w:pPr>
            <w:ind w:left="851"/>
            <w:jc w:val="center"/>
            <w:rPr>
              <w:b/>
              <w:szCs w:val="20"/>
            </w:rPr>
          </w:pPr>
          <w:r w:rsidRPr="001B1CDD">
            <w:rPr>
              <w:b/>
              <w:szCs w:val="20"/>
            </w:rPr>
            <w:t>Secretaria de Estado de Fazenda</w:t>
          </w:r>
          <w:r>
            <w:rPr>
              <w:b/>
              <w:szCs w:val="20"/>
            </w:rPr>
            <w:t xml:space="preserve"> e Planejamento</w:t>
          </w:r>
        </w:p>
        <w:sdt>
          <w:sdtPr>
            <w:rPr>
              <w:b/>
              <w:szCs w:val="20"/>
            </w:rPr>
            <w:alias w:val="Nome do órgão e hierarquia"/>
            <w:tag w:val="Nome do órgão e hierarquia"/>
            <w:id w:val="-1966889151"/>
            <w:text/>
          </w:sdtPr>
          <w:sdtEndPr/>
          <w:sdtContent>
            <w:p w:rsidR="00004C8B" w:rsidRPr="001B1CDD" w:rsidRDefault="00004C8B" w:rsidP="001B1CDD">
              <w:pPr>
                <w:ind w:left="851"/>
                <w:jc w:val="center"/>
                <w:rPr>
                  <w:b/>
                  <w:szCs w:val="20"/>
                </w:rPr>
              </w:pPr>
              <w:r w:rsidRPr="001B1CDD">
                <w:rPr>
                  <w:b/>
                  <w:szCs w:val="20"/>
                </w:rPr>
                <w:t>Superintendência de Tributação</w:t>
              </w:r>
            </w:p>
          </w:sdtContent>
        </w:sdt>
        <w:p w:rsidR="00004C8B" w:rsidRDefault="00004C8B" w:rsidP="00044FFB">
          <w:pPr>
            <w:pStyle w:val="Cabealho"/>
            <w:spacing w:line="276" w:lineRule="auto"/>
            <w:ind w:left="851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763" w:type="dxa"/>
          <w:hideMark/>
        </w:tcPr>
        <w:tbl>
          <w:tblPr>
            <w:tblW w:w="2595" w:type="dxa"/>
            <w:tbl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blBorders>
            <w:tblLayout w:type="fixed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2595"/>
          </w:tblGrid>
          <w:tr w:rsidR="00004C8B">
            <w:trPr>
              <w:cantSplit/>
              <w:trHeight w:val="272"/>
            </w:trPr>
            <w:tc>
              <w:tcPr>
                <w:tcW w:w="2601" w:type="dxa"/>
                <w:tcBorders>
                  <w:top w:val="single" w:sz="18" w:space="0" w:color="auto"/>
                  <w:left w:val="single" w:sz="18" w:space="0" w:color="auto"/>
                  <w:bottom w:val="nil"/>
                  <w:right w:val="single" w:sz="18" w:space="0" w:color="auto"/>
                </w:tcBorders>
                <w:hideMark/>
              </w:tcPr>
              <w:p w:rsidR="00004C8B" w:rsidRDefault="00004C8B">
                <w:pPr>
                  <w:pStyle w:val="Cabealho"/>
                  <w:spacing w:line="276" w:lineRule="auto"/>
                  <w:ind w:left="-70" w:right="72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Serviço Público Estadual</w:t>
                </w:r>
              </w:p>
            </w:tc>
          </w:tr>
          <w:tr w:rsidR="00004C8B">
            <w:trPr>
              <w:cantSplit/>
              <w:trHeight w:val="273"/>
            </w:trPr>
            <w:tc>
              <w:tcPr>
                <w:tcW w:w="2601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  <w:hideMark/>
              </w:tcPr>
              <w:p w:rsidR="00004C8B" w:rsidRPr="00833515" w:rsidRDefault="00004C8B" w:rsidP="00A16EC8">
                <w:pPr>
                  <w:rPr>
                    <w:szCs w:val="20"/>
                  </w:rPr>
                </w:pPr>
                <w:r w:rsidRPr="009C1605">
                  <w:rPr>
                    <w:sz w:val="20"/>
                    <w:szCs w:val="20"/>
                  </w:rPr>
                  <w:t>Proc. E-04/</w:t>
                </w:r>
                <w:r>
                  <w:rPr>
                    <w:sz w:val="20"/>
                    <w:szCs w:val="20"/>
                  </w:rPr>
                  <w:t>079/3264/2017</w:t>
                </w:r>
              </w:p>
            </w:tc>
          </w:tr>
          <w:tr w:rsidR="00004C8B">
            <w:trPr>
              <w:cantSplit/>
              <w:trHeight w:val="272"/>
            </w:trPr>
            <w:tc>
              <w:tcPr>
                <w:tcW w:w="2601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  <w:hideMark/>
              </w:tcPr>
              <w:p w:rsidR="00004C8B" w:rsidRPr="00833515" w:rsidRDefault="00004C8B" w:rsidP="00874421">
                <w:pPr>
                  <w:rPr>
                    <w:szCs w:val="20"/>
                  </w:rPr>
                </w:pPr>
                <w:r w:rsidRPr="009C1605">
                  <w:rPr>
                    <w:sz w:val="20"/>
                    <w:szCs w:val="20"/>
                  </w:rPr>
                  <w:t xml:space="preserve">Data: </w:t>
                </w:r>
                <w:r>
                  <w:rPr>
                    <w:sz w:val="20"/>
                    <w:szCs w:val="20"/>
                  </w:rPr>
                  <w:t xml:space="preserve">15/08/2017 </w:t>
                </w:r>
                <w:r w:rsidRPr="009C1605">
                  <w:rPr>
                    <w:sz w:val="20"/>
                    <w:szCs w:val="20"/>
                  </w:rPr>
                  <w:t xml:space="preserve">- Fls: </w:t>
                </w:r>
                <w:r w:rsidRPr="009C1605">
                  <w:rPr>
                    <w:sz w:val="20"/>
                    <w:szCs w:val="20"/>
                  </w:rPr>
                  <w:fldChar w:fldCharType="begin"/>
                </w:r>
                <w:r w:rsidRPr="009C1605">
                  <w:rPr>
                    <w:sz w:val="20"/>
                    <w:szCs w:val="20"/>
                  </w:rPr>
                  <w:instrText>PAGE   \* MERGEFORMAT</w:instrText>
                </w:r>
                <w:r w:rsidRPr="009C1605">
                  <w:rPr>
                    <w:sz w:val="20"/>
                    <w:szCs w:val="20"/>
                  </w:rPr>
                  <w:fldChar w:fldCharType="separate"/>
                </w:r>
                <w:r w:rsidR="00C25B4C">
                  <w:rPr>
                    <w:noProof/>
                    <w:sz w:val="20"/>
                    <w:szCs w:val="20"/>
                  </w:rPr>
                  <w:t>100</w:t>
                </w:r>
                <w:r w:rsidRPr="009C1605">
                  <w:rPr>
                    <w:sz w:val="20"/>
                    <w:szCs w:val="20"/>
                  </w:rPr>
                  <w:fldChar w:fldCharType="end"/>
                </w:r>
              </w:p>
            </w:tc>
          </w:tr>
          <w:tr w:rsidR="00004C8B">
            <w:trPr>
              <w:cantSplit/>
              <w:trHeight w:val="273"/>
            </w:trPr>
            <w:tc>
              <w:tcPr>
                <w:tcW w:w="2601" w:type="dxa"/>
                <w:tcBorders>
                  <w:top w:val="nil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hideMark/>
              </w:tcPr>
              <w:p w:rsidR="00004C8B" w:rsidRDefault="00004C8B">
                <w:pPr>
                  <w:pStyle w:val="Cabealho"/>
                  <w:spacing w:line="276" w:lineRule="auto"/>
                  <w:ind w:right="72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Rubrica: _____________</w:t>
                </w:r>
              </w:p>
              <w:p w:rsidR="00004C8B" w:rsidRPr="00CB4BDE" w:rsidRDefault="00004C8B" w:rsidP="00C25B4C">
                <w:pPr>
                  <w:pStyle w:val="Cabealho"/>
                  <w:spacing w:line="276" w:lineRule="auto"/>
                  <w:ind w:right="72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                    </w:t>
                </w:r>
                <w:bookmarkStart w:id="0" w:name="_GoBack"/>
                <w:bookmarkEnd w:id="0"/>
              </w:p>
            </w:tc>
          </w:tr>
        </w:tbl>
        <w:p w:rsidR="00004C8B" w:rsidRDefault="00004C8B">
          <w:pPr>
            <w:pStyle w:val="Cabealho"/>
            <w:spacing w:line="276" w:lineRule="auto"/>
            <w:ind w:right="-70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</w:tr>
  </w:tbl>
  <w:p w:rsidR="00004C8B" w:rsidRDefault="00004C8B" w:rsidP="001B1CDD">
    <w:pPr>
      <w:ind w:left="-709"/>
      <w:jc w:val="center"/>
      <w:rPr>
        <w:sz w:val="18"/>
        <w:szCs w:val="18"/>
      </w:rPr>
    </w:pPr>
  </w:p>
  <w:p w:rsidR="00004C8B" w:rsidRDefault="00004C8B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B4C" w:rsidRDefault="00C25B4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CDD"/>
    <w:rsid w:val="00004C8B"/>
    <w:rsid w:val="00006857"/>
    <w:rsid w:val="00011552"/>
    <w:rsid w:val="00032FFA"/>
    <w:rsid w:val="0004267D"/>
    <w:rsid w:val="00044FFB"/>
    <w:rsid w:val="0005358E"/>
    <w:rsid w:val="00061528"/>
    <w:rsid w:val="00072222"/>
    <w:rsid w:val="00076A4B"/>
    <w:rsid w:val="000A1E19"/>
    <w:rsid w:val="000C03A8"/>
    <w:rsid w:val="000C5004"/>
    <w:rsid w:val="000D0DF1"/>
    <w:rsid w:val="000D4AA6"/>
    <w:rsid w:val="00116AEF"/>
    <w:rsid w:val="00125BDE"/>
    <w:rsid w:val="00180EB9"/>
    <w:rsid w:val="00191809"/>
    <w:rsid w:val="00196570"/>
    <w:rsid w:val="001A145D"/>
    <w:rsid w:val="001A3B0B"/>
    <w:rsid w:val="001B1CDD"/>
    <w:rsid w:val="001B2EAA"/>
    <w:rsid w:val="001D531F"/>
    <w:rsid w:val="002011FA"/>
    <w:rsid w:val="00224AB8"/>
    <w:rsid w:val="002260F0"/>
    <w:rsid w:val="00291E07"/>
    <w:rsid w:val="00341887"/>
    <w:rsid w:val="00351DDC"/>
    <w:rsid w:val="00352540"/>
    <w:rsid w:val="0036640B"/>
    <w:rsid w:val="00396CE8"/>
    <w:rsid w:val="003D3974"/>
    <w:rsid w:val="00413D33"/>
    <w:rsid w:val="0046302A"/>
    <w:rsid w:val="004661EA"/>
    <w:rsid w:val="00466D70"/>
    <w:rsid w:val="004875E3"/>
    <w:rsid w:val="00491053"/>
    <w:rsid w:val="004A2AD0"/>
    <w:rsid w:val="004C2764"/>
    <w:rsid w:val="00550D88"/>
    <w:rsid w:val="00561E56"/>
    <w:rsid w:val="005B6DB0"/>
    <w:rsid w:val="005C5DCC"/>
    <w:rsid w:val="005E2F63"/>
    <w:rsid w:val="005F5E11"/>
    <w:rsid w:val="005F734C"/>
    <w:rsid w:val="00674602"/>
    <w:rsid w:val="00685EEB"/>
    <w:rsid w:val="006F6FDE"/>
    <w:rsid w:val="00713E1E"/>
    <w:rsid w:val="00757519"/>
    <w:rsid w:val="007668FE"/>
    <w:rsid w:val="00775DE1"/>
    <w:rsid w:val="007B6027"/>
    <w:rsid w:val="007B707A"/>
    <w:rsid w:val="007D509D"/>
    <w:rsid w:val="007F2BBB"/>
    <w:rsid w:val="00811453"/>
    <w:rsid w:val="00833515"/>
    <w:rsid w:val="00874421"/>
    <w:rsid w:val="008767F5"/>
    <w:rsid w:val="00892D4B"/>
    <w:rsid w:val="008B0EDE"/>
    <w:rsid w:val="008D0BF4"/>
    <w:rsid w:val="00926D7E"/>
    <w:rsid w:val="00973E01"/>
    <w:rsid w:val="00976283"/>
    <w:rsid w:val="00996FD7"/>
    <w:rsid w:val="009A4B6E"/>
    <w:rsid w:val="009C0AC8"/>
    <w:rsid w:val="009C1605"/>
    <w:rsid w:val="00A16EC8"/>
    <w:rsid w:val="00A35CFA"/>
    <w:rsid w:val="00A73D80"/>
    <w:rsid w:val="00AA585C"/>
    <w:rsid w:val="00AE7885"/>
    <w:rsid w:val="00B03129"/>
    <w:rsid w:val="00B122DF"/>
    <w:rsid w:val="00B138B9"/>
    <w:rsid w:val="00B331CD"/>
    <w:rsid w:val="00B62C31"/>
    <w:rsid w:val="00B660D3"/>
    <w:rsid w:val="00B67FBC"/>
    <w:rsid w:val="00B92903"/>
    <w:rsid w:val="00BA3057"/>
    <w:rsid w:val="00BA7C80"/>
    <w:rsid w:val="00BC5461"/>
    <w:rsid w:val="00BD24CA"/>
    <w:rsid w:val="00C25B4C"/>
    <w:rsid w:val="00C871FB"/>
    <w:rsid w:val="00C9361E"/>
    <w:rsid w:val="00CA2810"/>
    <w:rsid w:val="00CB4BDE"/>
    <w:rsid w:val="00D36B85"/>
    <w:rsid w:val="00D42BE6"/>
    <w:rsid w:val="00D51B42"/>
    <w:rsid w:val="00D53D82"/>
    <w:rsid w:val="00D6017F"/>
    <w:rsid w:val="00D7403F"/>
    <w:rsid w:val="00D844E6"/>
    <w:rsid w:val="00D972CA"/>
    <w:rsid w:val="00DC12AA"/>
    <w:rsid w:val="00DC40B6"/>
    <w:rsid w:val="00E11D5C"/>
    <w:rsid w:val="00E22F53"/>
    <w:rsid w:val="00E516C0"/>
    <w:rsid w:val="00ED4760"/>
    <w:rsid w:val="00ED5FA5"/>
    <w:rsid w:val="00EF3393"/>
    <w:rsid w:val="00F079AB"/>
    <w:rsid w:val="00F34041"/>
    <w:rsid w:val="00F611F8"/>
    <w:rsid w:val="00F64488"/>
    <w:rsid w:val="00FA55E8"/>
    <w:rsid w:val="00FA6471"/>
    <w:rsid w:val="00FE36B9"/>
    <w:rsid w:val="00FE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CDD"/>
    <w:pPr>
      <w:widowControl w:val="0"/>
      <w:autoSpaceDE w:val="0"/>
      <w:autoSpaceDN w:val="0"/>
      <w:spacing w:after="0" w:line="240" w:lineRule="auto"/>
      <w:jc w:val="both"/>
    </w:pPr>
  </w:style>
  <w:style w:type="paragraph" w:styleId="Ttulo1">
    <w:name w:val="heading 1"/>
    <w:basedOn w:val="Normal"/>
    <w:next w:val="Normal"/>
    <w:link w:val="Ttulo1Char"/>
    <w:uiPriority w:val="9"/>
    <w:qFormat/>
    <w:rsid w:val="00833515"/>
    <w:pPr>
      <w:keepNext/>
      <w:keepLines/>
      <w:widowControl/>
      <w:autoSpaceDE/>
      <w:autoSpaceDN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9"/>
    <w:qFormat/>
    <w:rsid w:val="001B1CDD"/>
    <w:pPr>
      <w:keepLines/>
      <w:jc w:val="left"/>
      <w:outlineLvl w:val="1"/>
    </w:pPr>
    <w:rPr>
      <w:b/>
      <w:bCs/>
      <w:smallCaps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8335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491053"/>
    <w:pPr>
      <w:widowControl/>
      <w:autoSpaceDE/>
      <w:autoSpaceDN/>
      <w:spacing w:before="240" w:after="60"/>
      <w:jc w:val="left"/>
      <w:outlineLvl w:val="8"/>
    </w:pPr>
    <w:rPr>
      <w:rFonts w:asciiTheme="majorHAnsi" w:eastAsiaTheme="majorEastAsia" w:hAnsiTheme="majorHAnsi" w:cstheme="majorBid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B1CDD"/>
    <w:pPr>
      <w:widowControl/>
      <w:tabs>
        <w:tab w:val="center" w:pos="4252"/>
        <w:tab w:val="right" w:pos="8504"/>
      </w:tabs>
      <w:autoSpaceDE/>
      <w:autoSpaceDN/>
      <w:jc w:val="left"/>
    </w:pPr>
    <w:rPr>
      <w:rFonts w:ascii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1B1CDD"/>
  </w:style>
  <w:style w:type="paragraph" w:styleId="Rodap">
    <w:name w:val="footer"/>
    <w:basedOn w:val="Normal"/>
    <w:link w:val="RodapChar"/>
    <w:uiPriority w:val="99"/>
    <w:unhideWhenUsed/>
    <w:rsid w:val="001B1CDD"/>
    <w:pPr>
      <w:widowControl/>
      <w:tabs>
        <w:tab w:val="center" w:pos="4252"/>
        <w:tab w:val="right" w:pos="8504"/>
      </w:tabs>
      <w:autoSpaceDE/>
      <w:autoSpaceDN/>
      <w:jc w:val="left"/>
    </w:pPr>
    <w:rPr>
      <w:rFonts w:ascii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1B1CDD"/>
  </w:style>
  <w:style w:type="paragraph" w:styleId="Textodebalo">
    <w:name w:val="Balloon Text"/>
    <w:basedOn w:val="Normal"/>
    <w:link w:val="TextodebaloChar"/>
    <w:uiPriority w:val="99"/>
    <w:semiHidden/>
    <w:unhideWhenUsed/>
    <w:rsid w:val="001B1CDD"/>
    <w:pPr>
      <w:widowControl/>
      <w:autoSpaceDE/>
      <w:autoSpaceDN/>
      <w:jc w:val="left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1CDD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9"/>
    <w:rsid w:val="001B1CDD"/>
    <w:rPr>
      <w:rFonts w:ascii="Arial" w:eastAsia="Times New Roman" w:hAnsi="Arial" w:cs="Arial"/>
      <w:b/>
      <w:bCs/>
      <w:smallCaps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833515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8335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rsid w:val="00491053"/>
    <w:rPr>
      <w:rFonts w:asciiTheme="majorHAnsi" w:eastAsiaTheme="majorEastAsia" w:hAnsiTheme="majorHAnsi" w:cstheme="majorBidi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CDD"/>
    <w:pPr>
      <w:widowControl w:val="0"/>
      <w:autoSpaceDE w:val="0"/>
      <w:autoSpaceDN w:val="0"/>
      <w:spacing w:after="0" w:line="240" w:lineRule="auto"/>
      <w:jc w:val="both"/>
    </w:pPr>
  </w:style>
  <w:style w:type="paragraph" w:styleId="Ttulo1">
    <w:name w:val="heading 1"/>
    <w:basedOn w:val="Normal"/>
    <w:next w:val="Normal"/>
    <w:link w:val="Ttulo1Char"/>
    <w:uiPriority w:val="9"/>
    <w:qFormat/>
    <w:rsid w:val="00833515"/>
    <w:pPr>
      <w:keepNext/>
      <w:keepLines/>
      <w:widowControl/>
      <w:autoSpaceDE/>
      <w:autoSpaceDN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9"/>
    <w:qFormat/>
    <w:rsid w:val="001B1CDD"/>
    <w:pPr>
      <w:keepLines/>
      <w:jc w:val="left"/>
      <w:outlineLvl w:val="1"/>
    </w:pPr>
    <w:rPr>
      <w:b/>
      <w:bCs/>
      <w:smallCaps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8335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491053"/>
    <w:pPr>
      <w:widowControl/>
      <w:autoSpaceDE/>
      <w:autoSpaceDN/>
      <w:spacing w:before="240" w:after="60"/>
      <w:jc w:val="left"/>
      <w:outlineLvl w:val="8"/>
    </w:pPr>
    <w:rPr>
      <w:rFonts w:asciiTheme="majorHAnsi" w:eastAsiaTheme="majorEastAsia" w:hAnsiTheme="majorHAnsi" w:cstheme="majorBid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B1CDD"/>
    <w:pPr>
      <w:widowControl/>
      <w:tabs>
        <w:tab w:val="center" w:pos="4252"/>
        <w:tab w:val="right" w:pos="8504"/>
      </w:tabs>
      <w:autoSpaceDE/>
      <w:autoSpaceDN/>
      <w:jc w:val="left"/>
    </w:pPr>
    <w:rPr>
      <w:rFonts w:ascii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1B1CDD"/>
  </w:style>
  <w:style w:type="paragraph" w:styleId="Rodap">
    <w:name w:val="footer"/>
    <w:basedOn w:val="Normal"/>
    <w:link w:val="RodapChar"/>
    <w:uiPriority w:val="99"/>
    <w:unhideWhenUsed/>
    <w:rsid w:val="001B1CDD"/>
    <w:pPr>
      <w:widowControl/>
      <w:tabs>
        <w:tab w:val="center" w:pos="4252"/>
        <w:tab w:val="right" w:pos="8504"/>
      </w:tabs>
      <w:autoSpaceDE/>
      <w:autoSpaceDN/>
      <w:jc w:val="left"/>
    </w:pPr>
    <w:rPr>
      <w:rFonts w:ascii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1B1CDD"/>
  </w:style>
  <w:style w:type="paragraph" w:styleId="Textodebalo">
    <w:name w:val="Balloon Text"/>
    <w:basedOn w:val="Normal"/>
    <w:link w:val="TextodebaloChar"/>
    <w:uiPriority w:val="99"/>
    <w:semiHidden/>
    <w:unhideWhenUsed/>
    <w:rsid w:val="001B1CDD"/>
    <w:pPr>
      <w:widowControl/>
      <w:autoSpaceDE/>
      <w:autoSpaceDN/>
      <w:jc w:val="left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1CDD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9"/>
    <w:rsid w:val="001B1CDD"/>
    <w:rPr>
      <w:rFonts w:ascii="Arial" w:eastAsia="Times New Roman" w:hAnsi="Arial" w:cs="Arial"/>
      <w:b/>
      <w:bCs/>
      <w:smallCaps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833515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8335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rsid w:val="00491053"/>
    <w:rPr>
      <w:rFonts w:asciiTheme="majorHAnsi" w:eastAsiaTheme="majorEastAsia" w:hAnsiTheme="majorHAnsi" w:cstheme="majorBid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1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76959-2EAD-4123-B0C9-47B3A084A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825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THEMA</Company>
  <LinksUpToDate>false</LinksUpToDate>
  <CharactersWithSpaces>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THEMA</dc:creator>
  <cp:lastModifiedBy>Thereza Marina Cunha M. Cunha</cp:lastModifiedBy>
  <cp:revision>3</cp:revision>
  <cp:lastPrinted>2018-01-15T16:28:00Z</cp:lastPrinted>
  <dcterms:created xsi:type="dcterms:W3CDTF">2018-08-01T18:04:00Z</dcterms:created>
  <dcterms:modified xsi:type="dcterms:W3CDTF">2018-08-01T18:04:00Z</dcterms:modified>
</cp:coreProperties>
</file>