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011AF2" w:rsidRDefault="000D4A8F" w:rsidP="000D4A8F">
            <w:pPr>
              <w:keepLines/>
              <w:widowControl w:val="0"/>
              <w:autoSpaceDE w:val="0"/>
              <w:spacing w:after="0" w:line="240" w:lineRule="auto"/>
              <w:ind w:left="48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obrigatoriedade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do bloco k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efd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para filial de consórcio de exploração de petróleo</w:t>
            </w:r>
          </w:p>
        </w:tc>
      </w:tr>
    </w:tbl>
    <w:p w:rsidR="00314181" w:rsidRDefault="00314181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011AF2">
        <w:rPr>
          <w:rFonts w:ascii="Times New Roman" w:hAnsi="Times New Roman" w:cs="Times New Roman"/>
          <w:b/>
          <w:smallCaps/>
        </w:rPr>
        <w:t xml:space="preserve">consulta nº  </w:t>
      </w:r>
      <w:r w:rsidR="005118B9">
        <w:rPr>
          <w:rFonts w:ascii="Times New Roman" w:hAnsi="Times New Roman" w:cs="Times New Roman"/>
          <w:b/>
          <w:smallCaps/>
        </w:rPr>
        <w:t>104</w:t>
      </w:r>
      <w:r w:rsidRPr="00011AF2">
        <w:rPr>
          <w:rFonts w:ascii="Times New Roman" w:hAnsi="Times New Roman" w:cs="Times New Roman"/>
          <w:b/>
          <w:smallCaps/>
        </w:rPr>
        <w:t xml:space="preserve"> /2016</w:t>
      </w:r>
    </w:p>
    <w:p w:rsidR="00B62E26" w:rsidRPr="00B62E26" w:rsidRDefault="00B62E26" w:rsidP="0090166F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D4A8F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</w:t>
      </w:r>
      <w:r w:rsidR="0090663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vem solicitar o entendimento desta Superintendencia de Tributação a cerca </w:t>
      </w:r>
      <w:r w:rsidR="00BB22C9">
        <w:rPr>
          <w:rFonts w:ascii="Times New Roman" w:eastAsia="Times New Roman" w:hAnsi="Times New Roman" w:cs="Times New Roman"/>
          <w:lang w:eastAsia="ar-SA"/>
        </w:rPr>
        <w:t xml:space="preserve">da </w:t>
      </w:r>
      <w:r w:rsidR="000D4A8F">
        <w:rPr>
          <w:rFonts w:ascii="Times New Roman" w:eastAsia="Times New Roman" w:hAnsi="Times New Roman" w:cs="Times New Roman"/>
          <w:lang w:eastAsia="ar-SA"/>
        </w:rPr>
        <w:t>obrigatoriedade de escrituração/apresentação do bloco K da EFD</w:t>
      </w:r>
      <w:r w:rsidR="008E0877">
        <w:rPr>
          <w:rFonts w:ascii="Times New Roman" w:eastAsia="Times New Roman" w:hAnsi="Times New Roman" w:cs="Times New Roman"/>
          <w:lang w:eastAsia="ar-SA"/>
        </w:rPr>
        <w:t xml:space="preserve"> – Escrituração Fiscal Digital</w:t>
      </w:r>
      <w:r w:rsidR="000D4A8F">
        <w:rPr>
          <w:rFonts w:ascii="Times New Roman" w:eastAsia="Times New Roman" w:hAnsi="Times New Roman" w:cs="Times New Roman"/>
          <w:lang w:eastAsia="ar-SA"/>
        </w:rPr>
        <w:t>, relativo ao Livro de Registro de Controle da Produção e do Estoque</w:t>
      </w:r>
      <w:r w:rsidR="008E0877">
        <w:rPr>
          <w:rFonts w:ascii="Times New Roman" w:eastAsia="Times New Roman" w:hAnsi="Times New Roman" w:cs="Times New Roman"/>
          <w:lang w:eastAsia="ar-SA"/>
        </w:rPr>
        <w:t>,</w:t>
      </w:r>
      <w:r w:rsidR="000D4A8F">
        <w:rPr>
          <w:rFonts w:ascii="Times New Roman" w:eastAsia="Times New Roman" w:hAnsi="Times New Roman" w:cs="Times New Roman"/>
          <w:lang w:eastAsia="ar-SA"/>
        </w:rPr>
        <w:t xml:space="preserve"> pelas filiais criadas exclusivamente para integrar consórcios</w:t>
      </w:r>
      <w:r w:rsidR="008E0877">
        <w:rPr>
          <w:rFonts w:ascii="Times New Roman" w:eastAsia="Times New Roman" w:hAnsi="Times New Roman" w:cs="Times New Roman"/>
          <w:lang w:eastAsia="ar-SA"/>
        </w:rPr>
        <w:t>, com outras empresas</w:t>
      </w:r>
      <w:r w:rsidR="004F30CB">
        <w:rPr>
          <w:rFonts w:ascii="Times New Roman" w:eastAsia="Times New Roman" w:hAnsi="Times New Roman" w:cs="Times New Roman"/>
          <w:lang w:eastAsia="ar-SA"/>
        </w:rPr>
        <w:t xml:space="preserve"> do ramo</w:t>
      </w:r>
      <w:r w:rsidR="008E0877">
        <w:rPr>
          <w:rFonts w:ascii="Times New Roman" w:eastAsia="Times New Roman" w:hAnsi="Times New Roman" w:cs="Times New Roman"/>
          <w:lang w:eastAsia="ar-SA"/>
        </w:rPr>
        <w:t>,</w:t>
      </w:r>
      <w:r w:rsidR="000D4A8F">
        <w:rPr>
          <w:rFonts w:ascii="Times New Roman" w:eastAsia="Times New Roman" w:hAnsi="Times New Roman" w:cs="Times New Roman"/>
          <w:lang w:eastAsia="ar-SA"/>
        </w:rPr>
        <w:t xml:space="preserve"> de exp</w:t>
      </w:r>
      <w:r w:rsidR="008E0877">
        <w:rPr>
          <w:rFonts w:ascii="Times New Roman" w:eastAsia="Times New Roman" w:hAnsi="Times New Roman" w:cs="Times New Roman"/>
          <w:lang w:eastAsia="ar-SA"/>
        </w:rPr>
        <w:t>loração e produção</w:t>
      </w:r>
      <w:r w:rsidR="004F30CB">
        <w:rPr>
          <w:rFonts w:ascii="Times New Roman" w:eastAsia="Times New Roman" w:hAnsi="Times New Roman" w:cs="Times New Roman"/>
          <w:lang w:eastAsia="ar-SA"/>
        </w:rPr>
        <w:t xml:space="preserve"> de petróleo e gás natural</w:t>
      </w:r>
      <w:r w:rsidR="008E0877">
        <w:rPr>
          <w:rFonts w:ascii="Times New Roman" w:eastAsia="Times New Roman" w:hAnsi="Times New Roman" w:cs="Times New Roman"/>
          <w:lang w:eastAsia="ar-SA"/>
        </w:rPr>
        <w:t>.</w:t>
      </w:r>
    </w:p>
    <w:p w:rsidR="008E0877" w:rsidRDefault="008E0877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D4625" w:rsidRDefault="00B62E26" w:rsidP="0090166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 w:rsidR="00700C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para </w:t>
      </w:r>
      <w:r w:rsidR="00700CA9">
        <w:rPr>
          <w:rFonts w:ascii="Times New Roman" w:eastAsia="Times New Roman" w:hAnsi="Times New Roman" w:cs="Times New Roman"/>
          <w:lang w:eastAsia="ar-SA"/>
        </w:rPr>
        <w:t>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 w:rsidR="009C5467"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>o</w:t>
      </w:r>
      <w:r w:rsidR="001973BF">
        <w:rPr>
          <w:rFonts w:ascii="Times New Roman" w:eastAsia="Times New Roman" w:hAnsi="Times New Roman" w:cs="Times New Roman"/>
          <w:lang w:eastAsia="ar-SA"/>
        </w:rPr>
        <w:t xml:space="preserve">s documentos referentes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ao recolhimento da TSE – Taxa de Serviços Estaduais (fls. </w:t>
      </w:r>
      <w:r w:rsidR="007A1819">
        <w:rPr>
          <w:rFonts w:ascii="Times New Roman" w:eastAsia="Times New Roman" w:hAnsi="Times New Roman" w:cs="Times New Roman"/>
          <w:lang w:eastAsia="ar-SA"/>
        </w:rPr>
        <w:t>0</w:t>
      </w:r>
      <w:r w:rsidR="008E0877">
        <w:rPr>
          <w:rFonts w:ascii="Times New Roman" w:eastAsia="Times New Roman" w:hAnsi="Times New Roman" w:cs="Times New Roman"/>
          <w:lang w:eastAsia="ar-SA"/>
        </w:rPr>
        <w:t>9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/</w:t>
      </w:r>
      <w:r w:rsidR="008E0877">
        <w:rPr>
          <w:rFonts w:ascii="Times New Roman" w:eastAsia="Times New Roman" w:hAnsi="Times New Roman" w:cs="Times New Roman"/>
          <w:lang w:eastAsia="ar-SA"/>
        </w:rPr>
        <w:t>2</w:t>
      </w:r>
      <w:r w:rsidR="006D5AFB">
        <w:rPr>
          <w:rFonts w:ascii="Times New Roman" w:eastAsia="Times New Roman" w:hAnsi="Times New Roman" w:cs="Times New Roman"/>
          <w:lang w:eastAsia="ar-SA"/>
        </w:rPr>
        <w:t>4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a </w:t>
      </w:r>
      <w:r w:rsidR="00D52FBC">
        <w:rPr>
          <w:rFonts w:ascii="Times New Roman" w:eastAsia="Times New Roman" w:hAnsi="Times New Roman" w:cs="Times New Roman"/>
          <w:lang w:eastAsia="ar-SA"/>
        </w:rPr>
        <w:t xml:space="preserve">GAC - </w:t>
      </w:r>
      <w:r w:rsidR="00011AF2">
        <w:rPr>
          <w:rFonts w:ascii="Times New Roman" w:eastAsia="Times New Roman" w:hAnsi="Times New Roman" w:cs="Times New Roman"/>
          <w:lang w:eastAsia="ar-SA"/>
        </w:rPr>
        <w:t>Gerência de Atendimento ao Contribuinte.</w:t>
      </w:r>
      <w:r w:rsidR="005D4625">
        <w:rPr>
          <w:rFonts w:ascii="Times New Roman" w:eastAsia="Times New Roman" w:hAnsi="Times New Roman" w:cs="Times New Roman"/>
          <w:lang w:eastAsia="ar-SA"/>
        </w:rPr>
        <w:t xml:space="preserve"> A IFE04 – Petróleo e Combustíveis informa, em seu despacho às fls. 27, a existência de ações fiscais iniciadas e não concluídas, tanto no estabelecimento principal da consulente como em dependentes, mas não relacionadas ao objeto da consulta. Informa também a inexistência de autos de infração relativos à Consulta.</w:t>
      </w:r>
    </w:p>
    <w:p w:rsidR="005D4625" w:rsidRDefault="005D4625" w:rsidP="0090166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</w:t>
      </w:r>
      <w:r w:rsidR="00204D7C">
        <w:rPr>
          <w:rFonts w:ascii="Times New Roman" w:eastAsia="Times New Roman" w:hAnsi="Times New Roman" w:cs="Times New Roman"/>
          <w:smallCaps/>
          <w:lang w:eastAsia="ar-SA"/>
        </w:rPr>
        <w:t xml:space="preserve">, </w:t>
      </w:r>
      <w:r w:rsidR="00204D7C">
        <w:rPr>
          <w:rFonts w:ascii="Times New Roman" w:eastAsia="Times New Roman" w:hAnsi="Times New Roman" w:cs="Times New Roman"/>
          <w:lang w:eastAsia="ar-SA"/>
        </w:rPr>
        <w:t>às fls. 0</w:t>
      </w:r>
      <w:r w:rsidR="005D4625">
        <w:rPr>
          <w:rFonts w:ascii="Times New Roman" w:eastAsia="Times New Roman" w:hAnsi="Times New Roman" w:cs="Times New Roman"/>
          <w:lang w:eastAsia="ar-SA"/>
        </w:rPr>
        <w:t>7</w:t>
      </w:r>
      <w:r w:rsidRPr="00B62E26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C61FC6" w:rsidRDefault="00C61FC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90166F" w:rsidRDefault="0090166F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</w:t>
      </w:r>
      <w:r w:rsidR="005D4625">
        <w:rPr>
          <w:rFonts w:ascii="Times New Roman" w:eastAsia="Times New Roman" w:hAnsi="Times New Roman" w:cs="Times New Roman"/>
          <w:lang w:eastAsia="ar-SA"/>
        </w:rPr>
        <w:t>Está correto o nosso entendimento de que as atividades econômicas realizadas pela Petrobras filial Consórcio são incompatíveis com as exigências do Bloco K, a qual estaria fora da obr</w:t>
      </w:r>
      <w:r w:rsidR="00545BB4">
        <w:rPr>
          <w:rFonts w:ascii="Times New Roman" w:eastAsia="Times New Roman" w:hAnsi="Times New Roman" w:cs="Times New Roman"/>
          <w:lang w:eastAsia="ar-SA"/>
        </w:rPr>
        <w:t>i</w:t>
      </w:r>
      <w:r w:rsidR="005D4625">
        <w:rPr>
          <w:rFonts w:ascii="Times New Roman" w:eastAsia="Times New Roman" w:hAnsi="Times New Roman" w:cs="Times New Roman"/>
          <w:lang w:eastAsia="ar-SA"/>
        </w:rPr>
        <w:t>gatoriedade prevista na cláusula terceira, §</w:t>
      </w:r>
      <w:r w:rsidR="00545BB4">
        <w:rPr>
          <w:rFonts w:ascii="Times New Roman" w:eastAsia="Times New Roman" w:hAnsi="Times New Roman" w:cs="Times New Roman"/>
          <w:lang w:eastAsia="ar-SA"/>
        </w:rPr>
        <w:t>7º do Ajuste Sinief2/2009?</w:t>
      </w:r>
      <w:r>
        <w:rPr>
          <w:rFonts w:ascii="Times New Roman" w:eastAsia="Times New Roman" w:hAnsi="Times New Roman" w:cs="Times New Roman"/>
          <w:lang w:eastAsia="ar-SA"/>
        </w:rPr>
        <w:t>”</w:t>
      </w:r>
    </w:p>
    <w:p w:rsidR="0090166F" w:rsidRDefault="0090166F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F30CB" w:rsidRDefault="004F30CB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Pr="00F2568E" w:rsidRDefault="00B62E26" w:rsidP="00F2568E">
      <w:pPr>
        <w:spacing w:after="0" w:line="360" w:lineRule="auto"/>
        <w:ind w:right="-1"/>
        <w:jc w:val="center"/>
        <w:rPr>
          <w:rFonts w:ascii="Times Roman" w:hAnsi="Times Roman" w:cs="Times New Roman"/>
          <w:b/>
        </w:rPr>
      </w:pPr>
      <w:r w:rsidRPr="00F2568E">
        <w:rPr>
          <w:rFonts w:ascii="Times Roman" w:hAnsi="Times Roman" w:cs="Times New Roman"/>
          <w:b/>
        </w:rPr>
        <w:t xml:space="preserve">II – ANÁLISE, FUNDAMENTAÇÃO E </w:t>
      </w:r>
      <w:proofErr w:type="gramStart"/>
      <w:r w:rsidRPr="00F2568E">
        <w:rPr>
          <w:rFonts w:ascii="Times Roman" w:hAnsi="Times Roman" w:cs="Times New Roman"/>
          <w:b/>
        </w:rPr>
        <w:t>RESPOSTA</w:t>
      </w:r>
      <w:proofErr w:type="gramEnd"/>
    </w:p>
    <w:p w:rsidR="00700CA9" w:rsidRPr="00F2568E" w:rsidRDefault="00700CA9" w:rsidP="00F2568E">
      <w:pPr>
        <w:spacing w:after="0" w:line="360" w:lineRule="auto"/>
        <w:ind w:right="-1"/>
        <w:jc w:val="center"/>
        <w:rPr>
          <w:rFonts w:ascii="Times Roman" w:hAnsi="Times Roman" w:cs="Times New Roman"/>
          <w:b/>
        </w:rPr>
      </w:pPr>
    </w:p>
    <w:p w:rsidR="00545BB4" w:rsidRDefault="00545BB4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lastRenderedPageBreak/>
        <w:tab/>
        <w:t xml:space="preserve">A consulente na sua exposição reproduz, às fls. 3 e 4, o disposto no parágrafo 7º da Cláusula terceira do Ajuste SINIEF nº 02/2009, com a redação dada pelo Ajuste SINIEF nº 01/2016. Cita também a obrigatoriedade de preenchimento do Registro 0210, relativo </w:t>
      </w:r>
      <w:proofErr w:type="gramStart"/>
      <w:r>
        <w:rPr>
          <w:rFonts w:ascii="Times Roman" w:hAnsi="Times Roman" w:cs="Arial"/>
          <w:lang w:eastAsia="pt-BR"/>
        </w:rPr>
        <w:t>a</w:t>
      </w:r>
      <w:proofErr w:type="gramEnd"/>
      <w:r>
        <w:rPr>
          <w:rFonts w:ascii="Times Roman" w:hAnsi="Times Roman" w:cs="Arial"/>
          <w:lang w:eastAsia="pt-BR"/>
        </w:rPr>
        <w:t xml:space="preserve"> Consumo Específico Padronizado, quando existir produção ou consumo informados nos Registros K230/K235 e K250/K255. </w:t>
      </w:r>
      <w:r w:rsidR="009C6E3A">
        <w:rPr>
          <w:rFonts w:ascii="Times Roman" w:hAnsi="Times Roman" w:cs="Arial"/>
          <w:lang w:eastAsia="pt-BR"/>
        </w:rPr>
        <w:t xml:space="preserve">Faz, ainda, </w:t>
      </w:r>
      <w:r>
        <w:rPr>
          <w:rFonts w:ascii="Times Roman" w:hAnsi="Times Roman" w:cs="Arial"/>
          <w:lang w:eastAsia="pt-BR"/>
        </w:rPr>
        <w:t xml:space="preserve">considerações relacionadas aos Consórcios </w:t>
      </w:r>
      <w:r w:rsidR="009C6E3A">
        <w:rPr>
          <w:rFonts w:ascii="Times Roman" w:hAnsi="Times Roman" w:cs="Arial"/>
          <w:lang w:eastAsia="pt-BR"/>
        </w:rPr>
        <w:t>para exploração e produção petrolíferas.</w:t>
      </w:r>
    </w:p>
    <w:p w:rsidR="009C6E3A" w:rsidRDefault="00545BB4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</w:r>
      <w:r w:rsidR="009C6E3A">
        <w:rPr>
          <w:rFonts w:ascii="Times Roman" w:hAnsi="Times Roman" w:cs="Arial"/>
          <w:lang w:eastAsia="pt-BR"/>
        </w:rPr>
        <w:t>Preliminarmente, os Consórcios de exploração e produção petrolíferas, apesar de não possuírem personalidade jurídica, sempre terão um líder, que o representa juridicamente, tanto para fins regulatórios na ANP quanto para fins fiscais. Ou seja, independe da condição de filial de consórcio, como a consulente denomina suas filiais criadas para representá-la nos Consórcios, as</w:t>
      </w:r>
      <w:r w:rsidR="004F30CB">
        <w:rPr>
          <w:rFonts w:ascii="Times Roman" w:hAnsi="Times Roman" w:cs="Arial"/>
          <w:lang w:eastAsia="pt-BR"/>
        </w:rPr>
        <w:t xml:space="preserve"> obrigatoriedades da legislação</w:t>
      </w:r>
      <w:r w:rsidR="009C6E3A">
        <w:rPr>
          <w:rFonts w:ascii="Times Roman" w:hAnsi="Times Roman" w:cs="Arial"/>
          <w:lang w:eastAsia="pt-BR"/>
        </w:rPr>
        <w:t xml:space="preserve">. A filial da empresa líder do Consórcio terá as mesmas obrigações legais de qualquer </w:t>
      </w:r>
      <w:r w:rsidR="00BE733D">
        <w:rPr>
          <w:rFonts w:ascii="Times Roman" w:hAnsi="Times Roman" w:cs="Arial"/>
          <w:lang w:eastAsia="pt-BR"/>
        </w:rPr>
        <w:t xml:space="preserve">filial de </w:t>
      </w:r>
      <w:r w:rsidR="009C6E3A">
        <w:rPr>
          <w:rFonts w:ascii="Times Roman" w:hAnsi="Times Roman" w:cs="Arial"/>
          <w:lang w:eastAsia="pt-BR"/>
        </w:rPr>
        <w:t xml:space="preserve">empresa que </w:t>
      </w:r>
      <w:r w:rsidR="00BE733D">
        <w:rPr>
          <w:rFonts w:ascii="Times Roman" w:hAnsi="Times Roman" w:cs="Arial"/>
          <w:lang w:eastAsia="pt-BR"/>
        </w:rPr>
        <w:t xml:space="preserve">explorasse sozinha um campo de petróleo. </w:t>
      </w:r>
    </w:p>
    <w:p w:rsidR="00BE733D" w:rsidRDefault="00BE733D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>A questão passa a ser apenas se existe obrigatoriedade de apresentação do bloco K da EFD para empresas de exploração e produção de petróleo e gás natural.</w:t>
      </w:r>
    </w:p>
    <w:p w:rsidR="00321BE4" w:rsidRDefault="00321BE4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>A obrigatoriedade de apresentação do bloco K vai iniciar apenas em 1º de janeiro de 2017, para os estabelecimentos industriais classificadas nas divisões 10 a 32 da CNAE - Classificação Nacional de Atividades, com faturamento anual igual ou superior a R$ 300.000.000.00, conforme inciso I do parágrafo 7º da cláusula terceira do Ajuste SINIEF 02/2009.</w:t>
      </w:r>
    </w:p>
    <w:p w:rsidR="00FB0ECA" w:rsidRDefault="0035165B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Consultando o sítio do IBGE na Internet, relativamente as CNAE, obtemos que as atividades estão divididas em </w:t>
      </w:r>
      <w:r w:rsidR="00FB0ECA">
        <w:rPr>
          <w:rFonts w:ascii="Times Roman" w:hAnsi="Times Roman" w:cs="Arial"/>
          <w:lang w:eastAsia="pt-BR"/>
        </w:rPr>
        <w:t xml:space="preserve">sessões e divisões. As indústrias extrativas estão classificadas na seção B, divisões 05 a 09. A extração de petróleo e gás natural, especificamente se classifica na divisão 06, grupo 060, </w:t>
      </w:r>
      <w:r w:rsidR="00FB0ECA" w:rsidRPr="00FB0ECA">
        <w:rPr>
          <w:rFonts w:ascii="Times Roman" w:hAnsi="Times Roman" w:cs="Arial"/>
          <w:b/>
          <w:lang w:eastAsia="pt-BR"/>
        </w:rPr>
        <w:t>CNAE 0600-0/0</w:t>
      </w:r>
      <w:r w:rsidR="00115A9D">
        <w:rPr>
          <w:rFonts w:ascii="Times Roman" w:hAnsi="Times Roman" w:cs="Arial"/>
          <w:b/>
          <w:lang w:eastAsia="pt-BR"/>
        </w:rPr>
        <w:t>1</w:t>
      </w:r>
      <w:r w:rsidR="00FB0ECA">
        <w:rPr>
          <w:rFonts w:ascii="Times Roman" w:hAnsi="Times Roman" w:cs="Arial"/>
          <w:lang w:eastAsia="pt-BR"/>
        </w:rPr>
        <w:t>, conforme abaixo. Já as indústrias de transformação são classificadas na seção C, divisões 10 a 33.</w:t>
      </w:r>
    </w:p>
    <w:p w:rsidR="00FB0ECA" w:rsidRPr="00FB0ECA" w:rsidRDefault="00FB0ECA" w:rsidP="00FB0ECA">
      <w:pPr>
        <w:shd w:val="clear" w:color="auto" w:fill="F1F1F1"/>
        <w:spacing w:after="0" w:line="255" w:lineRule="atLeast"/>
        <w:outlineLvl w:val="2"/>
        <w:rPr>
          <w:rFonts w:ascii="Arial" w:eastAsia="Times New Roman" w:hAnsi="Arial" w:cs="Arial"/>
          <w:b/>
          <w:bCs/>
          <w:color w:val="757F8E"/>
          <w:sz w:val="27"/>
          <w:szCs w:val="27"/>
          <w:lang w:eastAsia="pt-BR"/>
        </w:rPr>
      </w:pPr>
      <w:r w:rsidRPr="00FB0ECA">
        <w:rPr>
          <w:rFonts w:ascii="Arial" w:eastAsia="Times New Roman" w:hAnsi="Arial" w:cs="Arial"/>
          <w:b/>
          <w:bCs/>
          <w:color w:val="757F8E"/>
          <w:sz w:val="27"/>
          <w:szCs w:val="27"/>
          <w:lang w:eastAsia="pt-BR"/>
        </w:rPr>
        <w:t>Hierarquia</w:t>
      </w:r>
    </w:p>
    <w:tbl>
      <w:tblPr>
        <w:tblW w:w="9900" w:type="dxa"/>
        <w:tblBorders>
          <w:bottom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126"/>
        <w:gridCol w:w="7461"/>
      </w:tblGrid>
      <w:tr w:rsidR="00FB0ECA" w:rsidRPr="00FB0ECA" w:rsidTr="00FB0E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t-BR"/>
              </w:rPr>
              <w:t>Seção: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INDÚSTRIAS EXTRATIVAS</w:t>
            </w:r>
          </w:p>
        </w:tc>
      </w:tr>
      <w:tr w:rsidR="00FB0ECA" w:rsidRPr="00FB0ECA" w:rsidTr="00FB0E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t-BR"/>
              </w:rPr>
              <w:t>Divisão: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06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EXTRAÇÃO DE PETRÓLEO E GÁS NATURAL</w:t>
            </w:r>
          </w:p>
        </w:tc>
      </w:tr>
      <w:tr w:rsidR="00FB0ECA" w:rsidRPr="00FB0ECA" w:rsidTr="00FB0E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060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EXTRAÇÃO DE PETRÓLEO E GÁS NATURAL</w:t>
            </w:r>
          </w:p>
        </w:tc>
      </w:tr>
      <w:tr w:rsidR="00FB0ECA" w:rsidRPr="00FB0ECA" w:rsidTr="00FB0E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>Classe: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0600-0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EXTRAÇÃO DE PETRÓLEO E GÁS NATURAL</w:t>
            </w:r>
          </w:p>
        </w:tc>
      </w:tr>
    </w:tbl>
    <w:p w:rsidR="00FB0ECA" w:rsidRPr="00FB0ECA" w:rsidRDefault="00FB0ECA" w:rsidP="00FB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0ECA" w:rsidRPr="00FB0ECA" w:rsidRDefault="00FB0ECA" w:rsidP="00FB0ECA">
      <w:pPr>
        <w:shd w:val="clear" w:color="auto" w:fill="F1F1F1"/>
        <w:spacing w:after="0" w:line="255" w:lineRule="atLeast"/>
        <w:outlineLvl w:val="2"/>
        <w:rPr>
          <w:rFonts w:ascii="Arial" w:eastAsia="Times New Roman" w:hAnsi="Arial" w:cs="Arial"/>
          <w:b/>
          <w:bCs/>
          <w:color w:val="757F8E"/>
          <w:sz w:val="27"/>
          <w:szCs w:val="27"/>
          <w:lang w:eastAsia="pt-BR"/>
        </w:rPr>
      </w:pPr>
      <w:r w:rsidRPr="00FB0ECA">
        <w:rPr>
          <w:rFonts w:ascii="Arial" w:eastAsia="Times New Roman" w:hAnsi="Arial" w:cs="Arial"/>
          <w:b/>
          <w:bCs/>
          <w:color w:val="757F8E"/>
          <w:sz w:val="27"/>
          <w:szCs w:val="27"/>
          <w:lang w:eastAsia="pt-BR"/>
        </w:rPr>
        <w:t>Esta classe contém a seguinte subclasse:</w:t>
      </w:r>
    </w:p>
    <w:tbl>
      <w:tblPr>
        <w:tblW w:w="9900" w:type="dxa"/>
        <w:tblBorders>
          <w:bottom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0"/>
      </w:tblGrid>
      <w:tr w:rsidR="00FB0ECA" w:rsidRPr="00FB0ECA" w:rsidTr="00FB0ECA"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0600-0/01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EXTRAÇÃO DE PETRÓLEO E GÁS NATURAL</w:t>
            </w:r>
          </w:p>
        </w:tc>
      </w:tr>
      <w:tr w:rsidR="00FB0ECA" w:rsidRPr="00FB0ECA" w:rsidTr="00FB0ECA"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2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0600-0/02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EXTRAÇÃO E BENEFICIAMENTO DE XISTO</w:t>
            </w:r>
          </w:p>
        </w:tc>
      </w:tr>
      <w:tr w:rsidR="00FB0ECA" w:rsidRPr="00FB0ECA" w:rsidTr="00FB0ECA"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906636" w:rsidP="00F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3" w:history="1">
              <w:r w:rsidR="00FB0ECA" w:rsidRPr="00FB0ECA">
                <w:rPr>
                  <w:rFonts w:ascii="Times New Roman" w:eastAsia="Times New Roman" w:hAnsi="Times New Roman" w:cs="Times New Roman"/>
                  <w:b/>
                  <w:bCs/>
                  <w:color w:val="2D386F"/>
                  <w:sz w:val="18"/>
                  <w:szCs w:val="18"/>
                  <w:u w:val="single"/>
                  <w:bdr w:val="none" w:sz="0" w:space="0" w:color="auto" w:frame="1"/>
                  <w:lang w:eastAsia="pt-BR"/>
                </w:rPr>
                <w:t>0600-0/03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ECA" w:rsidRPr="00FB0ECA" w:rsidRDefault="00FB0ECA" w:rsidP="00F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B0E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EXTRAÇÃO E BENEFICIAMENTO DE AREIAS BETUMINOSAS</w:t>
            </w:r>
          </w:p>
        </w:tc>
      </w:tr>
    </w:tbl>
    <w:p w:rsidR="00115A9D" w:rsidRDefault="00BE733D" w:rsidP="00F2568E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</w:r>
    </w:p>
    <w:p w:rsidR="00115A9D" w:rsidRDefault="00115A9D" w:rsidP="00675395">
      <w:pPr>
        <w:tabs>
          <w:tab w:val="left" w:pos="709"/>
        </w:tabs>
        <w:spacing w:line="360" w:lineRule="auto"/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>Conforme acima exposto, a CNAE de exploração de petróleo</w:t>
      </w:r>
      <w:r w:rsidR="00675395">
        <w:rPr>
          <w:rFonts w:ascii="Times Roman" w:hAnsi="Times Roman" w:cs="Arial"/>
          <w:lang w:eastAsia="pt-BR"/>
        </w:rPr>
        <w:t xml:space="preserve">, com divisão 06, </w:t>
      </w:r>
      <w:r>
        <w:rPr>
          <w:rFonts w:ascii="Times Roman" w:hAnsi="Times Roman" w:cs="Arial"/>
          <w:lang w:eastAsia="pt-BR"/>
        </w:rPr>
        <w:t>afasta a possibilidade de enquadramento nas situações descritas nos Incisos I e II do</w:t>
      </w:r>
      <w:r w:rsidRPr="00115A9D">
        <w:rPr>
          <w:rFonts w:ascii="Times Roman" w:hAnsi="Times Roman" w:cs="Arial"/>
          <w:lang w:eastAsia="pt-BR"/>
        </w:rPr>
        <w:t xml:space="preserve"> </w:t>
      </w:r>
      <w:r>
        <w:rPr>
          <w:rFonts w:ascii="Times Roman" w:hAnsi="Times Roman" w:cs="Arial"/>
          <w:lang w:eastAsia="pt-BR"/>
        </w:rPr>
        <w:t>parágrafo 7º da cláusula terceira do Ajuste SINIEF nº 02/2009, com a redação dada pelo Ajuste SINIEF nº 01/2016.</w:t>
      </w:r>
      <w:r w:rsidR="00675395">
        <w:rPr>
          <w:rFonts w:ascii="Times Roman" w:hAnsi="Times Roman" w:cs="Arial"/>
          <w:lang w:eastAsia="pt-BR"/>
        </w:rPr>
        <w:t xml:space="preserve"> Entretanto, a atividade de extração de petróleo é considerada como INDÚSTRIA EXTRATIVA, e como tal, enquadra-se no </w:t>
      </w:r>
      <w:r w:rsidR="004F30CB">
        <w:rPr>
          <w:rFonts w:ascii="Times Roman" w:hAnsi="Times Roman" w:cs="Arial"/>
          <w:lang w:eastAsia="pt-BR"/>
        </w:rPr>
        <w:t>Inciso III do mesmo dispositivo, a saber:</w:t>
      </w:r>
    </w:p>
    <w:p w:rsidR="004F30CB" w:rsidRPr="004F30CB" w:rsidRDefault="004F30CB" w:rsidP="00675395">
      <w:pPr>
        <w:tabs>
          <w:tab w:val="left" w:pos="709"/>
        </w:tabs>
        <w:spacing w:line="360" w:lineRule="auto"/>
        <w:ind w:firstLine="708"/>
        <w:jc w:val="both"/>
        <w:rPr>
          <w:rFonts w:ascii="Times Roman" w:hAnsi="Times Roman" w:cs="Arial"/>
          <w:i/>
          <w:lang w:eastAsia="pt-BR"/>
        </w:rPr>
      </w:pPr>
      <w:r w:rsidRPr="004F30CB">
        <w:rPr>
          <w:rFonts w:ascii="Times Roman" w:hAnsi="Times Roman" w:cs="Arial"/>
          <w:i/>
          <w:lang w:eastAsia="pt-BR"/>
        </w:rPr>
        <w:t xml:space="preserve">“III – 1º de janeiro de 2019, para os demais estabelecimentos industriais; os estabelecimentos atacadistas classificados nos grupos 462 a 469 da Classificação Nacional de Atividades </w:t>
      </w:r>
      <w:proofErr w:type="spellStart"/>
      <w:r w:rsidRPr="004F30CB">
        <w:rPr>
          <w:rFonts w:ascii="Times Roman" w:hAnsi="Times Roman" w:cs="Arial"/>
          <w:i/>
          <w:lang w:eastAsia="pt-BR"/>
        </w:rPr>
        <w:t>Economicas</w:t>
      </w:r>
      <w:proofErr w:type="spellEnd"/>
      <w:r w:rsidRPr="004F30CB">
        <w:rPr>
          <w:rFonts w:ascii="Times Roman" w:hAnsi="Times Roman" w:cs="Arial"/>
          <w:i/>
          <w:lang w:eastAsia="pt-BR"/>
        </w:rPr>
        <w:t xml:space="preserve"> (CNAE) e os estabelecimentos equiparados a industrial.”</w:t>
      </w:r>
    </w:p>
    <w:p w:rsidR="00BE733D" w:rsidRDefault="00115A9D" w:rsidP="00115A9D">
      <w:pPr>
        <w:spacing w:line="360" w:lineRule="auto"/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>Quanto à Consulta, a resposta é negativa. O estabelecimento que exercer a atividade de exploração de petróleo, CNAE 0600-0/02, seja sozinho</w:t>
      </w:r>
      <w:r w:rsidR="00FF3BE0">
        <w:rPr>
          <w:rFonts w:ascii="Times Roman" w:hAnsi="Times Roman" w:cs="Arial"/>
          <w:lang w:eastAsia="pt-BR"/>
        </w:rPr>
        <w:t xml:space="preserve"> ou c</w:t>
      </w:r>
      <w:r>
        <w:rPr>
          <w:rFonts w:ascii="Times Roman" w:hAnsi="Times Roman" w:cs="Arial"/>
          <w:lang w:eastAsia="pt-BR"/>
        </w:rPr>
        <w:t>omo líder do consórcio, est</w:t>
      </w:r>
      <w:r w:rsidR="004F30CB">
        <w:rPr>
          <w:rFonts w:ascii="Times Roman" w:hAnsi="Times Roman" w:cs="Arial"/>
          <w:lang w:eastAsia="pt-BR"/>
        </w:rPr>
        <w:t xml:space="preserve">ará </w:t>
      </w:r>
      <w:r>
        <w:rPr>
          <w:rFonts w:ascii="Times Roman" w:hAnsi="Times Roman" w:cs="Arial"/>
          <w:lang w:eastAsia="pt-BR"/>
        </w:rPr>
        <w:t xml:space="preserve">obrigado à entrega do bloco K, a partir de 01 de janeiro de 2019, pois se enquadra </w:t>
      </w:r>
      <w:r w:rsidR="00FF3BE0">
        <w:rPr>
          <w:rFonts w:ascii="Times Roman" w:hAnsi="Times Roman" w:cs="Arial"/>
          <w:lang w:eastAsia="pt-BR"/>
        </w:rPr>
        <w:t xml:space="preserve">em uma das </w:t>
      </w:r>
      <w:r>
        <w:rPr>
          <w:rFonts w:ascii="Times Roman" w:hAnsi="Times Roman" w:cs="Arial"/>
          <w:lang w:eastAsia="pt-BR"/>
        </w:rPr>
        <w:t xml:space="preserve">condições do Inciso III do </w:t>
      </w:r>
      <w:r w:rsidR="00675395">
        <w:rPr>
          <w:rFonts w:ascii="Times Roman" w:hAnsi="Times Roman" w:cs="Arial"/>
          <w:lang w:eastAsia="pt-BR"/>
        </w:rPr>
        <w:t>parágrafo 7º da cláusula terceira do Ajuste SINIEF nº 02/2009, com a redação dada pelo Ajuste SINIEF nº 01/2016.</w:t>
      </w:r>
    </w:p>
    <w:p w:rsidR="00204D7C" w:rsidRPr="00F2568E" w:rsidRDefault="00204D7C" w:rsidP="00F2568E">
      <w:pPr>
        <w:spacing w:after="0" w:line="360" w:lineRule="auto"/>
        <w:ind w:right="-1" w:firstLine="709"/>
        <w:jc w:val="both"/>
        <w:rPr>
          <w:rFonts w:ascii="Times Roman" w:hAnsi="Times Roman" w:cs="Times New Roman"/>
        </w:rPr>
      </w:pPr>
      <w:r w:rsidRPr="00F2568E">
        <w:rPr>
          <w:rFonts w:ascii="Times Roman" w:hAnsi="Times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F2568E">
        <w:rPr>
          <w:rFonts w:ascii="Times Roman" w:hAnsi="Times Roman" w:cs="Times New Roman"/>
        </w:rPr>
        <w:t xml:space="preserve"> ou seja</w:t>
      </w:r>
      <w:proofErr w:type="gramEnd"/>
      <w:r w:rsidRPr="00F2568E">
        <w:rPr>
          <w:rFonts w:ascii="Times Roman" w:hAnsi="Times Roman" w:cs="Times New Roman"/>
        </w:rPr>
        <w:t xml:space="preserve"> editada norma superveniente dispondo de forma contrária.</w:t>
      </w:r>
    </w:p>
    <w:p w:rsidR="00B62E26" w:rsidRPr="00F2568E" w:rsidRDefault="00B62E26" w:rsidP="00F2568E">
      <w:pPr>
        <w:spacing w:after="0" w:line="360" w:lineRule="auto"/>
        <w:ind w:right="-1"/>
        <w:jc w:val="center"/>
        <w:rPr>
          <w:rFonts w:ascii="Times Roman" w:hAnsi="Times Roman" w:cs="Times New Roman"/>
          <w:b/>
        </w:rPr>
      </w:pPr>
      <w:r w:rsidRPr="00F2568E">
        <w:rPr>
          <w:rFonts w:ascii="Times Roman" w:eastAsia="Calibri" w:hAnsi="Times Roman" w:cs="Times New Roman"/>
        </w:rPr>
        <w:t>CCJT, em</w:t>
      </w:r>
      <w:r w:rsidR="006448EC" w:rsidRPr="00F2568E">
        <w:rPr>
          <w:rFonts w:ascii="Times Roman" w:eastAsia="Calibri" w:hAnsi="Times Roman" w:cs="Times New Roman"/>
        </w:rPr>
        <w:t xml:space="preserve"> </w:t>
      </w:r>
      <w:r w:rsidR="00FF3BE0">
        <w:rPr>
          <w:rFonts w:ascii="Times Roman" w:eastAsia="Calibri" w:hAnsi="Times Roman" w:cs="Times New Roman"/>
        </w:rPr>
        <w:t>21</w:t>
      </w:r>
      <w:r w:rsidR="00140A53" w:rsidRPr="00F2568E">
        <w:rPr>
          <w:rFonts w:ascii="Times Roman" w:eastAsia="Calibri" w:hAnsi="Times Roman" w:cs="Times New Roman"/>
        </w:rPr>
        <w:t xml:space="preserve"> </w:t>
      </w:r>
      <w:r w:rsidRPr="00F2568E">
        <w:rPr>
          <w:rFonts w:ascii="Times Roman" w:eastAsia="Calibri" w:hAnsi="Times Roman" w:cs="Times New Roman"/>
        </w:rPr>
        <w:t xml:space="preserve">de </w:t>
      </w:r>
      <w:r w:rsidR="007B7370" w:rsidRPr="00F2568E">
        <w:rPr>
          <w:rFonts w:ascii="Times Roman" w:eastAsia="Calibri" w:hAnsi="Times Roman" w:cs="Times New Roman"/>
        </w:rPr>
        <w:t>setembro</w:t>
      </w:r>
      <w:r w:rsidR="000C0F8E" w:rsidRPr="00F2568E">
        <w:rPr>
          <w:rFonts w:ascii="Times Roman" w:eastAsia="Calibri" w:hAnsi="Times Roman" w:cs="Times New Roman"/>
        </w:rPr>
        <w:t xml:space="preserve"> </w:t>
      </w:r>
      <w:r w:rsidRPr="00F2568E">
        <w:rPr>
          <w:rFonts w:ascii="Times Roman" w:eastAsia="Calibri" w:hAnsi="Times Roman" w:cs="Times New Roman"/>
        </w:rPr>
        <w:t>de 20</w:t>
      </w:r>
      <w:r w:rsidR="00140A53" w:rsidRPr="00F2568E">
        <w:rPr>
          <w:rFonts w:ascii="Times Roman" w:eastAsia="Calibri" w:hAnsi="Times Roman" w:cs="Times New Roman"/>
        </w:rPr>
        <w:t>1</w:t>
      </w:r>
      <w:r w:rsidRPr="00F2568E">
        <w:rPr>
          <w:rFonts w:ascii="Times Roman" w:eastAsia="Calibri" w:hAnsi="Times Roman" w:cs="Times New Roman"/>
        </w:rPr>
        <w:t>6.</w:t>
      </w:r>
    </w:p>
    <w:p w:rsidR="00B62E26" w:rsidRPr="00F2568E" w:rsidRDefault="00B62E26" w:rsidP="00F2568E">
      <w:pPr>
        <w:spacing w:after="0" w:line="360" w:lineRule="auto"/>
        <w:ind w:right="-1"/>
        <w:jc w:val="center"/>
        <w:rPr>
          <w:rFonts w:ascii="Times Roman" w:hAnsi="Times Roman" w:cs="Times New Roman"/>
          <w:b/>
          <w:bCs/>
        </w:rPr>
      </w:pPr>
    </w:p>
    <w:sectPr w:rsidR="00B62E26" w:rsidRPr="00F256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73" w:rsidRDefault="00336373" w:rsidP="00844903">
      <w:pPr>
        <w:spacing w:after="0" w:line="240" w:lineRule="auto"/>
      </w:pPr>
      <w:r>
        <w:separator/>
      </w:r>
    </w:p>
  </w:endnote>
  <w:endnote w:type="continuationSeparator" w:id="0">
    <w:p w:rsidR="00336373" w:rsidRDefault="00336373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6" w:rsidRDefault="009066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6" w:rsidRDefault="009066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6" w:rsidRDefault="009066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73" w:rsidRDefault="00336373" w:rsidP="00844903">
      <w:pPr>
        <w:spacing w:after="0" w:line="240" w:lineRule="auto"/>
      </w:pPr>
      <w:r>
        <w:separator/>
      </w:r>
    </w:p>
  </w:footnote>
  <w:footnote w:type="continuationSeparator" w:id="0">
    <w:p w:rsidR="00336373" w:rsidRDefault="00336373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6" w:rsidRDefault="009066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B8762" wp14:editId="76157485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0D4A8F">
                            <w:rPr>
                              <w:rFonts w:ascii="Times New Roman" w:hAnsi="Times New Roman" w:cs="Times New Roman"/>
                            </w:rPr>
                            <w:t>4808</w:t>
                          </w:r>
                          <w:proofErr w:type="gramStart"/>
                          <w:r w:rsidR="004B0CF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0D4A8F">
                            <w:rPr>
                              <w:rFonts w:ascii="Times New Roman" w:hAnsi="Times New Roman" w:cs="Times New Roman"/>
                            </w:rPr>
                            <w:t>02/09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0D4A8F">
                      <w:rPr>
                        <w:rFonts w:ascii="Times New Roman" w:hAnsi="Times New Roman" w:cs="Times New Roman"/>
                      </w:rPr>
                      <w:t>4808</w:t>
                    </w:r>
                    <w:proofErr w:type="gramStart"/>
                    <w:r w:rsidR="004B0CF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End"/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0D4A8F">
                      <w:rPr>
                        <w:rFonts w:ascii="Times New Roman" w:hAnsi="Times New Roman" w:cs="Times New Roman"/>
                      </w:rPr>
                      <w:t>02/09</w:t>
                    </w:r>
                    <w:r w:rsidR="007B7370">
                      <w:rPr>
                        <w:rFonts w:ascii="Times New Roman" w:hAnsi="Times New Roman" w:cs="Times New Roman"/>
                      </w:rPr>
                      <w:t>8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023FBD1" wp14:editId="6F80512C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6" w:rsidRDefault="009066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6275F"/>
    <w:rsid w:val="000901F0"/>
    <w:rsid w:val="000906D6"/>
    <w:rsid w:val="000A08AF"/>
    <w:rsid w:val="000B1962"/>
    <w:rsid w:val="000C0F8E"/>
    <w:rsid w:val="000D2DCF"/>
    <w:rsid w:val="000D3CA4"/>
    <w:rsid w:val="000D4A8F"/>
    <w:rsid w:val="000F4F6E"/>
    <w:rsid w:val="00101398"/>
    <w:rsid w:val="00101BC0"/>
    <w:rsid w:val="0010315D"/>
    <w:rsid w:val="001064CE"/>
    <w:rsid w:val="00115A9D"/>
    <w:rsid w:val="001247EC"/>
    <w:rsid w:val="00132110"/>
    <w:rsid w:val="00140A53"/>
    <w:rsid w:val="00145F77"/>
    <w:rsid w:val="001973BF"/>
    <w:rsid w:val="001A75C8"/>
    <w:rsid w:val="001E6D22"/>
    <w:rsid w:val="00204D7C"/>
    <w:rsid w:val="002577BF"/>
    <w:rsid w:val="0026316D"/>
    <w:rsid w:val="002830A4"/>
    <w:rsid w:val="0028465C"/>
    <w:rsid w:val="00293C0D"/>
    <w:rsid w:val="002A7F8B"/>
    <w:rsid w:val="002C1FA4"/>
    <w:rsid w:val="002D4397"/>
    <w:rsid w:val="002D7E70"/>
    <w:rsid w:val="002E027C"/>
    <w:rsid w:val="00314181"/>
    <w:rsid w:val="00321BE4"/>
    <w:rsid w:val="0033060B"/>
    <w:rsid w:val="00331266"/>
    <w:rsid w:val="00336373"/>
    <w:rsid w:val="0035165B"/>
    <w:rsid w:val="003745BF"/>
    <w:rsid w:val="003765DA"/>
    <w:rsid w:val="00395886"/>
    <w:rsid w:val="003C078A"/>
    <w:rsid w:val="003D1379"/>
    <w:rsid w:val="003D45F0"/>
    <w:rsid w:val="00404318"/>
    <w:rsid w:val="0041056C"/>
    <w:rsid w:val="0042689C"/>
    <w:rsid w:val="0043044B"/>
    <w:rsid w:val="00466ADE"/>
    <w:rsid w:val="00493941"/>
    <w:rsid w:val="004A7251"/>
    <w:rsid w:val="004B0CF0"/>
    <w:rsid w:val="004C464A"/>
    <w:rsid w:val="004C56E6"/>
    <w:rsid w:val="004F2997"/>
    <w:rsid w:val="004F30CB"/>
    <w:rsid w:val="0051048E"/>
    <w:rsid w:val="005118B9"/>
    <w:rsid w:val="005172AA"/>
    <w:rsid w:val="00534904"/>
    <w:rsid w:val="00534FEC"/>
    <w:rsid w:val="005357B0"/>
    <w:rsid w:val="0054185F"/>
    <w:rsid w:val="00544E74"/>
    <w:rsid w:val="00545BB4"/>
    <w:rsid w:val="0055671C"/>
    <w:rsid w:val="0058192E"/>
    <w:rsid w:val="005B0E49"/>
    <w:rsid w:val="005B0F1D"/>
    <w:rsid w:val="005D4625"/>
    <w:rsid w:val="005D4761"/>
    <w:rsid w:val="005D788A"/>
    <w:rsid w:val="005F6671"/>
    <w:rsid w:val="006112E7"/>
    <w:rsid w:val="00623078"/>
    <w:rsid w:val="00637E5F"/>
    <w:rsid w:val="006448EC"/>
    <w:rsid w:val="006552A3"/>
    <w:rsid w:val="00655831"/>
    <w:rsid w:val="00675395"/>
    <w:rsid w:val="00691B8A"/>
    <w:rsid w:val="006B1937"/>
    <w:rsid w:val="006B2C82"/>
    <w:rsid w:val="006C20EB"/>
    <w:rsid w:val="006D5AFB"/>
    <w:rsid w:val="006F1260"/>
    <w:rsid w:val="006F6E4E"/>
    <w:rsid w:val="00700CA9"/>
    <w:rsid w:val="0071136F"/>
    <w:rsid w:val="0072313C"/>
    <w:rsid w:val="007422D0"/>
    <w:rsid w:val="00746F3D"/>
    <w:rsid w:val="007471CA"/>
    <w:rsid w:val="00757366"/>
    <w:rsid w:val="007575A2"/>
    <w:rsid w:val="00772AE2"/>
    <w:rsid w:val="007A1819"/>
    <w:rsid w:val="007A39AB"/>
    <w:rsid w:val="007A3CE1"/>
    <w:rsid w:val="007B7370"/>
    <w:rsid w:val="007D0F8B"/>
    <w:rsid w:val="007E1873"/>
    <w:rsid w:val="007E588C"/>
    <w:rsid w:val="008068DA"/>
    <w:rsid w:val="00822310"/>
    <w:rsid w:val="00826D15"/>
    <w:rsid w:val="00832918"/>
    <w:rsid w:val="00832AB0"/>
    <w:rsid w:val="00844903"/>
    <w:rsid w:val="008907C5"/>
    <w:rsid w:val="008A11BA"/>
    <w:rsid w:val="008C01D1"/>
    <w:rsid w:val="008C658D"/>
    <w:rsid w:val="008E0877"/>
    <w:rsid w:val="008F5EC4"/>
    <w:rsid w:val="0090166F"/>
    <w:rsid w:val="00906636"/>
    <w:rsid w:val="009075B6"/>
    <w:rsid w:val="0092229E"/>
    <w:rsid w:val="00926B82"/>
    <w:rsid w:val="00935F30"/>
    <w:rsid w:val="00992AB3"/>
    <w:rsid w:val="0099500E"/>
    <w:rsid w:val="0099715D"/>
    <w:rsid w:val="009A1664"/>
    <w:rsid w:val="009B20B3"/>
    <w:rsid w:val="009C5467"/>
    <w:rsid w:val="009C69AD"/>
    <w:rsid w:val="009C6E3A"/>
    <w:rsid w:val="009C7AE1"/>
    <w:rsid w:val="009D3929"/>
    <w:rsid w:val="009D66F5"/>
    <w:rsid w:val="009E71F6"/>
    <w:rsid w:val="00A03F99"/>
    <w:rsid w:val="00A15768"/>
    <w:rsid w:val="00A20B57"/>
    <w:rsid w:val="00A66948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52E2"/>
    <w:rsid w:val="00B50F8D"/>
    <w:rsid w:val="00B56947"/>
    <w:rsid w:val="00B62E26"/>
    <w:rsid w:val="00B64C37"/>
    <w:rsid w:val="00B934CD"/>
    <w:rsid w:val="00BB22C9"/>
    <w:rsid w:val="00BE3A00"/>
    <w:rsid w:val="00BE733D"/>
    <w:rsid w:val="00C008FD"/>
    <w:rsid w:val="00C00FD0"/>
    <w:rsid w:val="00C03D76"/>
    <w:rsid w:val="00C1770E"/>
    <w:rsid w:val="00C3743A"/>
    <w:rsid w:val="00C57499"/>
    <w:rsid w:val="00C61FC6"/>
    <w:rsid w:val="00CA3F68"/>
    <w:rsid w:val="00CB74A7"/>
    <w:rsid w:val="00CC33E8"/>
    <w:rsid w:val="00CD13A8"/>
    <w:rsid w:val="00CD2BA5"/>
    <w:rsid w:val="00CD311D"/>
    <w:rsid w:val="00CF7FB2"/>
    <w:rsid w:val="00D10382"/>
    <w:rsid w:val="00D10B61"/>
    <w:rsid w:val="00D23C52"/>
    <w:rsid w:val="00D52FBC"/>
    <w:rsid w:val="00D715A1"/>
    <w:rsid w:val="00D93C56"/>
    <w:rsid w:val="00E120CB"/>
    <w:rsid w:val="00E21F75"/>
    <w:rsid w:val="00E266C0"/>
    <w:rsid w:val="00E27CC4"/>
    <w:rsid w:val="00E317DA"/>
    <w:rsid w:val="00E407A2"/>
    <w:rsid w:val="00E711AA"/>
    <w:rsid w:val="00E76C65"/>
    <w:rsid w:val="00E86E4B"/>
    <w:rsid w:val="00EA18AD"/>
    <w:rsid w:val="00EB21FF"/>
    <w:rsid w:val="00EB4132"/>
    <w:rsid w:val="00EE67C1"/>
    <w:rsid w:val="00EF7396"/>
    <w:rsid w:val="00F2568E"/>
    <w:rsid w:val="00F81F42"/>
    <w:rsid w:val="00FB0ECA"/>
    <w:rsid w:val="00FB4EE0"/>
    <w:rsid w:val="00FC5521"/>
    <w:rsid w:val="00FE31A9"/>
    <w:rsid w:val="00FF2B08"/>
    <w:rsid w:val="00FF3BE0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e.ibge.gov.br/?view=secao&amp;tipo=cnae&amp;versao=9&amp;secao=B" TargetMode="External"/><Relationship Id="rId13" Type="http://schemas.openxmlformats.org/officeDocument/2006/relationships/hyperlink" Target="http://cnae.ibge.gov.br/?view=subclasse&amp;tipo=cnae&amp;versao=9&amp;subclasse=0600003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nae.ibge.gov.br/?view=subclasse&amp;tipo=cnae&amp;versao=9&amp;subclasse=060000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nae.ibge.gov.br/?view=subclasse&amp;tipo=cnae&amp;versao=9&amp;subclasse=0600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nae.ibge.gov.br/?view=grupo&amp;tipo=cnae&amp;versao=9&amp;grupo=06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nae.ibge.gov.br/?view=divisao&amp;tipo=cnae&amp;versao=9&amp;divisao=0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2016-09-05T17:12:00Z</cp:lastPrinted>
  <dcterms:created xsi:type="dcterms:W3CDTF">2016-10-05T17:53:00Z</dcterms:created>
  <dcterms:modified xsi:type="dcterms:W3CDTF">2016-10-10T19:17:00Z</dcterms:modified>
</cp:coreProperties>
</file>