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9661E2" w:rsidP="009661E2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9661E2">
              <w:rPr>
                <w:rFonts w:ascii="Times New Roman" w:hAnsi="Times New Roman"/>
                <w:szCs w:val="22"/>
              </w:rPr>
              <w:t xml:space="preserve">Cosméticos, Perfumaria, Artigos de Higiene </w:t>
            </w:r>
            <w:r w:rsidR="00CA3502">
              <w:rPr>
                <w:rFonts w:ascii="Times New Roman" w:hAnsi="Times New Roman"/>
                <w:szCs w:val="22"/>
              </w:rPr>
              <w:t>P</w:t>
            </w:r>
            <w:r w:rsidRPr="009661E2">
              <w:rPr>
                <w:rFonts w:ascii="Times New Roman" w:hAnsi="Times New Roman"/>
                <w:szCs w:val="22"/>
              </w:rPr>
              <w:t>essoal e de Toucador</w:t>
            </w:r>
            <w:r>
              <w:rPr>
                <w:rFonts w:ascii="Times New Roman" w:hAnsi="Times New Roman"/>
                <w:szCs w:val="22"/>
              </w:rPr>
              <w:t xml:space="preserve"> Relacionados no Decreto n.º 43.922/12: Redução d</w:t>
            </w:r>
            <w:r w:rsidR="008A53D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 xml:space="preserve"> Base de Cálculo do ICMS </w:t>
            </w:r>
            <w:r w:rsidR="00CA3502">
              <w:rPr>
                <w:rFonts w:ascii="Times New Roman" w:hAnsi="Times New Roman"/>
                <w:szCs w:val="22"/>
              </w:rPr>
              <w:t>Somente</w:t>
            </w:r>
            <w:r>
              <w:rPr>
                <w:rFonts w:ascii="Times New Roman" w:hAnsi="Times New Roman"/>
                <w:szCs w:val="22"/>
              </w:rPr>
              <w:t xml:space="preserve"> na Operação Própria do Industrial, Importador ou Distribuidor/Atacadista.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31310D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101/17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6529E9" w:rsidRDefault="006529E9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6529E9">
        <w:rPr>
          <w:rFonts w:ascii="Times New Roman" w:hAnsi="Times New Roman" w:cs="Times New Roman"/>
          <w:lang w:eastAsia="pt-BR"/>
        </w:rPr>
        <w:t>A em</w:t>
      </w:r>
      <w:r w:rsidR="00225DB8">
        <w:rPr>
          <w:rFonts w:ascii="Times New Roman" w:hAnsi="Times New Roman" w:cs="Times New Roman"/>
          <w:lang w:eastAsia="pt-BR"/>
        </w:rPr>
        <w:t>presa, em face do artigo 2º do Decreto n.º 43.922/12</w:t>
      </w:r>
      <w:r w:rsidR="00880D37">
        <w:rPr>
          <w:rFonts w:ascii="Times New Roman" w:hAnsi="Times New Roman" w:cs="Times New Roman"/>
          <w:lang w:eastAsia="pt-BR"/>
        </w:rPr>
        <w:t xml:space="preserve"> com redação pelo </w:t>
      </w:r>
      <w:r w:rsidR="00A10F40">
        <w:rPr>
          <w:rFonts w:ascii="Times New Roman" w:hAnsi="Times New Roman" w:cs="Times New Roman"/>
          <w:lang w:eastAsia="pt-BR"/>
        </w:rPr>
        <w:t>Decreto n.º 45</w:t>
      </w:r>
      <w:r w:rsidR="00880D37">
        <w:rPr>
          <w:rFonts w:ascii="Times New Roman" w:hAnsi="Times New Roman" w:cs="Times New Roman"/>
          <w:lang w:eastAsia="pt-BR"/>
        </w:rPr>
        <w:t>.</w:t>
      </w:r>
      <w:r w:rsidR="00A10F40">
        <w:rPr>
          <w:rFonts w:ascii="Times New Roman" w:hAnsi="Times New Roman" w:cs="Times New Roman"/>
          <w:lang w:eastAsia="pt-BR"/>
        </w:rPr>
        <w:t xml:space="preserve">607/16 </w:t>
      </w:r>
      <w:r w:rsidR="001A369A">
        <w:rPr>
          <w:rFonts w:ascii="Times New Roman" w:hAnsi="Times New Roman" w:cs="Times New Roman"/>
          <w:lang w:eastAsia="pt-BR"/>
        </w:rPr>
        <w:t xml:space="preserve">- </w:t>
      </w:r>
      <w:r w:rsidR="00225DB8">
        <w:rPr>
          <w:rFonts w:ascii="Times New Roman" w:hAnsi="Times New Roman" w:cs="Times New Roman"/>
          <w:lang w:eastAsia="pt-BR"/>
        </w:rPr>
        <w:t xml:space="preserve">que </w:t>
      </w:r>
      <w:r w:rsidR="001A369A">
        <w:rPr>
          <w:rFonts w:ascii="Times New Roman" w:hAnsi="Times New Roman" w:cs="Times New Roman"/>
          <w:lang w:eastAsia="pt-BR"/>
        </w:rPr>
        <w:t xml:space="preserve">concede </w:t>
      </w:r>
      <w:r w:rsidR="001A369A" w:rsidRPr="001A369A">
        <w:rPr>
          <w:rFonts w:ascii="Times New Roman" w:hAnsi="Times New Roman" w:cs="Times New Roman"/>
          <w:lang w:eastAsia="pt-BR"/>
        </w:rPr>
        <w:t>redução d</w:t>
      </w:r>
      <w:r w:rsidR="00880D37">
        <w:rPr>
          <w:rFonts w:ascii="Times New Roman" w:hAnsi="Times New Roman" w:cs="Times New Roman"/>
          <w:lang w:eastAsia="pt-BR"/>
        </w:rPr>
        <w:t>e</w:t>
      </w:r>
      <w:r w:rsidR="001A369A" w:rsidRPr="001A369A">
        <w:rPr>
          <w:rFonts w:ascii="Times New Roman" w:hAnsi="Times New Roman" w:cs="Times New Roman"/>
          <w:lang w:eastAsia="pt-BR"/>
        </w:rPr>
        <w:t xml:space="preserve"> base de cálculo do ICMS</w:t>
      </w:r>
      <w:r w:rsidR="001A369A">
        <w:rPr>
          <w:rFonts w:ascii="Times New Roman" w:hAnsi="Times New Roman" w:cs="Times New Roman"/>
          <w:lang w:eastAsia="pt-BR"/>
        </w:rPr>
        <w:t xml:space="preserve"> </w:t>
      </w:r>
      <w:r w:rsidR="001A369A" w:rsidRPr="001A369A">
        <w:rPr>
          <w:rFonts w:ascii="Times New Roman" w:hAnsi="Times New Roman" w:cs="Times New Roman"/>
          <w:lang w:eastAsia="pt-BR"/>
        </w:rPr>
        <w:t>na operação de saída interna, com destino a contribuinte do imposto</w:t>
      </w:r>
      <w:r w:rsidR="001A369A">
        <w:rPr>
          <w:rFonts w:ascii="Times New Roman" w:hAnsi="Times New Roman" w:cs="Times New Roman"/>
          <w:lang w:eastAsia="pt-BR"/>
        </w:rPr>
        <w:t xml:space="preserve">, </w:t>
      </w:r>
      <w:r w:rsidR="001A369A" w:rsidRPr="001A369A">
        <w:rPr>
          <w:rFonts w:ascii="Times New Roman" w:hAnsi="Times New Roman" w:cs="Times New Roman"/>
          <w:lang w:eastAsia="pt-BR"/>
        </w:rPr>
        <w:t>de forma que a incidência do imposto resulte no percentual de 1</w:t>
      </w:r>
      <w:r w:rsidR="001A369A">
        <w:rPr>
          <w:rFonts w:ascii="Times New Roman" w:hAnsi="Times New Roman" w:cs="Times New Roman"/>
          <w:lang w:eastAsia="pt-BR"/>
        </w:rPr>
        <w:t>4</w:t>
      </w:r>
      <w:r w:rsidR="001A369A" w:rsidRPr="001A369A">
        <w:rPr>
          <w:rFonts w:ascii="Times New Roman" w:hAnsi="Times New Roman" w:cs="Times New Roman"/>
          <w:lang w:eastAsia="pt-BR"/>
        </w:rPr>
        <w:t>% (</w:t>
      </w:r>
      <w:r w:rsidR="00880D37">
        <w:rPr>
          <w:rFonts w:ascii="Times New Roman" w:hAnsi="Times New Roman" w:cs="Times New Roman"/>
          <w:lang w:eastAsia="pt-BR"/>
        </w:rPr>
        <w:t xml:space="preserve">quatorze </w:t>
      </w:r>
      <w:r w:rsidR="001A369A" w:rsidRPr="001A369A">
        <w:rPr>
          <w:rFonts w:ascii="Times New Roman" w:hAnsi="Times New Roman" w:cs="Times New Roman"/>
          <w:lang w:eastAsia="pt-BR"/>
        </w:rPr>
        <w:t xml:space="preserve">por cento) sobre o valor da operação própria, sendo </w:t>
      </w:r>
      <w:r w:rsidR="001A369A">
        <w:rPr>
          <w:rFonts w:ascii="Times New Roman" w:hAnsi="Times New Roman" w:cs="Times New Roman"/>
          <w:lang w:eastAsia="pt-BR"/>
        </w:rPr>
        <w:t>2</w:t>
      </w:r>
      <w:r w:rsidR="001A369A" w:rsidRPr="001A369A">
        <w:rPr>
          <w:rFonts w:ascii="Times New Roman" w:hAnsi="Times New Roman" w:cs="Times New Roman"/>
          <w:lang w:eastAsia="pt-BR"/>
        </w:rPr>
        <w:t>% (</w:t>
      </w:r>
      <w:r w:rsidR="001A369A">
        <w:rPr>
          <w:rFonts w:ascii="Times New Roman" w:hAnsi="Times New Roman" w:cs="Times New Roman"/>
          <w:lang w:eastAsia="pt-BR"/>
        </w:rPr>
        <w:t>dois p</w:t>
      </w:r>
      <w:r w:rsidR="001A369A" w:rsidRPr="001A369A">
        <w:rPr>
          <w:rFonts w:ascii="Times New Roman" w:hAnsi="Times New Roman" w:cs="Times New Roman"/>
          <w:lang w:eastAsia="pt-BR"/>
        </w:rPr>
        <w:t>or cento)</w:t>
      </w:r>
      <w:r w:rsidR="001A369A">
        <w:rPr>
          <w:rFonts w:ascii="Times New Roman" w:hAnsi="Times New Roman" w:cs="Times New Roman"/>
          <w:lang w:eastAsia="pt-BR"/>
        </w:rPr>
        <w:t xml:space="preserve"> destinado ao FECP, </w:t>
      </w:r>
      <w:r w:rsidR="001A369A" w:rsidRPr="001A369A">
        <w:rPr>
          <w:rFonts w:ascii="Times New Roman" w:hAnsi="Times New Roman" w:cs="Times New Roman"/>
          <w:lang w:eastAsia="pt-BR"/>
        </w:rPr>
        <w:t xml:space="preserve">das mercadorias </w:t>
      </w:r>
      <w:r w:rsidR="001A369A">
        <w:rPr>
          <w:rFonts w:ascii="Times New Roman" w:hAnsi="Times New Roman" w:cs="Times New Roman"/>
          <w:lang w:eastAsia="pt-BR"/>
        </w:rPr>
        <w:t xml:space="preserve">nele </w:t>
      </w:r>
      <w:r w:rsidR="001A369A" w:rsidRPr="001A369A">
        <w:rPr>
          <w:rFonts w:ascii="Times New Roman" w:hAnsi="Times New Roman" w:cs="Times New Roman"/>
          <w:lang w:eastAsia="pt-BR"/>
        </w:rPr>
        <w:t>relacionadas</w:t>
      </w:r>
      <w:r w:rsidR="001A369A">
        <w:rPr>
          <w:rFonts w:ascii="Times New Roman" w:hAnsi="Times New Roman" w:cs="Times New Roman"/>
          <w:lang w:eastAsia="pt-BR"/>
        </w:rPr>
        <w:t xml:space="preserve"> -, </w:t>
      </w:r>
      <w:r w:rsidR="001E6428">
        <w:rPr>
          <w:rFonts w:ascii="Times New Roman" w:hAnsi="Times New Roman" w:cs="Times New Roman"/>
          <w:lang w:eastAsia="pt-BR"/>
        </w:rPr>
        <w:t>expõe na inicial o que segue.</w:t>
      </w:r>
    </w:p>
    <w:p w:rsidR="00A10F40" w:rsidRDefault="00A10F40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E97514">
        <w:rPr>
          <w:rFonts w:ascii="Times New Roman" w:hAnsi="Times New Roman" w:cs="Times New Roman"/>
          <w:lang w:eastAsia="pt-BR"/>
        </w:rPr>
        <w:t>Dentre os produtos distribuídos pela consulente estão diversos cosméticos relaciona</w:t>
      </w:r>
      <w:r w:rsidR="009B70A7">
        <w:rPr>
          <w:rFonts w:ascii="Times New Roman" w:hAnsi="Times New Roman" w:cs="Times New Roman"/>
          <w:lang w:eastAsia="pt-BR"/>
        </w:rPr>
        <w:t>dos no decreto supracitado.  Informa que adquire as mercadorias de outr</w:t>
      </w:r>
      <w:r w:rsidR="00880D37">
        <w:rPr>
          <w:rFonts w:ascii="Times New Roman" w:hAnsi="Times New Roman" w:cs="Times New Roman"/>
          <w:lang w:eastAsia="pt-BR"/>
        </w:rPr>
        <w:t>a</w:t>
      </w:r>
      <w:r w:rsidR="009B70A7">
        <w:rPr>
          <w:rFonts w:ascii="Times New Roman" w:hAnsi="Times New Roman" w:cs="Times New Roman"/>
          <w:lang w:eastAsia="pt-BR"/>
        </w:rPr>
        <w:t xml:space="preserve">s </w:t>
      </w:r>
      <w:r w:rsidR="00880D37">
        <w:rPr>
          <w:rFonts w:ascii="Times New Roman" w:hAnsi="Times New Roman" w:cs="Times New Roman"/>
          <w:lang w:eastAsia="pt-BR"/>
        </w:rPr>
        <w:t xml:space="preserve">unidades </w:t>
      </w:r>
      <w:r w:rsidR="009B70A7">
        <w:rPr>
          <w:rFonts w:ascii="Times New Roman" w:hAnsi="Times New Roman" w:cs="Times New Roman"/>
          <w:lang w:eastAsia="pt-BR"/>
        </w:rPr>
        <w:t>da Federação e os distribuí através do seu Centro de Distribuição para toda a rede de lojas localizadas n</w:t>
      </w:r>
      <w:r w:rsidR="00880D37">
        <w:rPr>
          <w:rFonts w:ascii="Times New Roman" w:hAnsi="Times New Roman" w:cs="Times New Roman"/>
          <w:lang w:eastAsia="pt-BR"/>
        </w:rPr>
        <w:t xml:space="preserve">o </w:t>
      </w:r>
      <w:r w:rsidR="009B70A7">
        <w:rPr>
          <w:rFonts w:ascii="Times New Roman" w:hAnsi="Times New Roman" w:cs="Times New Roman"/>
          <w:lang w:eastAsia="pt-BR"/>
        </w:rPr>
        <w:t>Estado</w:t>
      </w:r>
      <w:r w:rsidR="00880D37">
        <w:rPr>
          <w:rFonts w:ascii="Times New Roman" w:hAnsi="Times New Roman" w:cs="Times New Roman"/>
          <w:lang w:eastAsia="pt-BR"/>
        </w:rPr>
        <w:t xml:space="preserve"> do Rio de Janeiro</w:t>
      </w:r>
      <w:r w:rsidR="009B70A7">
        <w:rPr>
          <w:rFonts w:ascii="Times New Roman" w:hAnsi="Times New Roman" w:cs="Times New Roman"/>
          <w:lang w:eastAsia="pt-BR"/>
        </w:rPr>
        <w:t xml:space="preserve">, atendendo </w:t>
      </w:r>
      <w:r w:rsidR="006A1C28">
        <w:rPr>
          <w:rFonts w:ascii="Times New Roman" w:hAnsi="Times New Roman" w:cs="Times New Roman"/>
          <w:lang w:eastAsia="pt-BR"/>
        </w:rPr>
        <w:t xml:space="preserve">assim </w:t>
      </w:r>
      <w:r w:rsidR="009B70A7">
        <w:rPr>
          <w:rFonts w:ascii="Times New Roman" w:hAnsi="Times New Roman" w:cs="Times New Roman"/>
          <w:lang w:eastAsia="pt-BR"/>
        </w:rPr>
        <w:t>a condição para fruição do benefício em questão.</w:t>
      </w:r>
    </w:p>
    <w:p w:rsidR="009B70A7" w:rsidRDefault="009B70A7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Destaca que o benefício que menciona foi instituído</w:t>
      </w:r>
      <w:r w:rsidR="005E3A15">
        <w:rPr>
          <w:rFonts w:ascii="Times New Roman" w:hAnsi="Times New Roman" w:cs="Times New Roman"/>
          <w:lang w:eastAsia="pt-BR"/>
        </w:rPr>
        <w:t xml:space="preserve"> em novembro de 2012, posteriormente </w:t>
      </w:r>
      <w:r>
        <w:rPr>
          <w:rFonts w:ascii="Times New Roman" w:hAnsi="Times New Roman" w:cs="Times New Roman"/>
          <w:lang w:eastAsia="pt-BR"/>
        </w:rPr>
        <w:t>à inclusão dos produtos beneficiados no regime de substituição tribut</w:t>
      </w:r>
      <w:r w:rsidR="005E3A15">
        <w:rPr>
          <w:rFonts w:ascii="Times New Roman" w:hAnsi="Times New Roman" w:cs="Times New Roman"/>
          <w:lang w:eastAsia="pt-BR"/>
        </w:rPr>
        <w:t>ária</w:t>
      </w:r>
      <w:r w:rsidR="00E224F5">
        <w:rPr>
          <w:rFonts w:ascii="Times New Roman" w:hAnsi="Times New Roman" w:cs="Times New Roman"/>
          <w:lang w:eastAsia="pt-BR"/>
        </w:rPr>
        <w:t>, o que lhe fez entender que o decreto pretendeu atender o setor de cosméticos.</w:t>
      </w:r>
    </w:p>
    <w:p w:rsidR="00E224F5" w:rsidRDefault="00E224F5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Neste contexto, a consulente revela não entender como dissociar a aplicação do benefício no cálculo do ICMS próprio </w:t>
      </w:r>
      <w:r w:rsidR="001F2AB7">
        <w:rPr>
          <w:rFonts w:ascii="Times New Roman" w:hAnsi="Times New Roman" w:cs="Times New Roman"/>
          <w:lang w:eastAsia="pt-BR"/>
        </w:rPr>
        <w:t>n</w:t>
      </w:r>
      <w:r>
        <w:rPr>
          <w:rFonts w:ascii="Times New Roman" w:hAnsi="Times New Roman" w:cs="Times New Roman"/>
          <w:lang w:eastAsia="pt-BR"/>
        </w:rPr>
        <w:t>o cálculo do ICMS devido por substituição tributária (ICMS-ST).  Admitindo esse entendimento</w:t>
      </w:r>
      <w:r w:rsidR="001F2AB7">
        <w:rPr>
          <w:rFonts w:ascii="Times New Roman" w:hAnsi="Times New Roman" w:cs="Times New Roman"/>
          <w:lang w:eastAsia="pt-BR"/>
        </w:rPr>
        <w:t xml:space="preserve"> (</w:t>
      </w:r>
      <w:r w:rsidR="00877A83">
        <w:rPr>
          <w:rFonts w:ascii="Times New Roman" w:hAnsi="Times New Roman" w:cs="Times New Roman"/>
          <w:lang w:eastAsia="pt-BR"/>
        </w:rPr>
        <w:t xml:space="preserve">isto é, </w:t>
      </w:r>
      <w:r>
        <w:rPr>
          <w:rFonts w:ascii="Times New Roman" w:hAnsi="Times New Roman" w:cs="Times New Roman"/>
          <w:lang w:eastAsia="pt-BR"/>
        </w:rPr>
        <w:t>aplicar o benefício da redução para 12% + FECP somente no ICMS próprio</w:t>
      </w:r>
      <w:r w:rsidR="001F2AB7">
        <w:rPr>
          <w:rFonts w:ascii="Times New Roman" w:hAnsi="Times New Roman" w:cs="Times New Roman"/>
          <w:lang w:eastAsia="pt-BR"/>
        </w:rPr>
        <w:t>)</w:t>
      </w:r>
      <w:r w:rsidR="00877A83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conclui</w:t>
      </w:r>
      <w:r w:rsidR="001F2AB7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que</w:t>
      </w:r>
      <w:r w:rsidR="00877A83">
        <w:rPr>
          <w:rFonts w:ascii="Times New Roman" w:hAnsi="Times New Roman" w:cs="Times New Roman"/>
          <w:lang w:eastAsia="pt-BR"/>
        </w:rPr>
        <w:t xml:space="preserve"> não haverá nenhum benefício financeiro na operação.</w:t>
      </w:r>
      <w:r w:rsidR="003A6283">
        <w:rPr>
          <w:rFonts w:ascii="Times New Roman" w:hAnsi="Times New Roman" w:cs="Times New Roman"/>
          <w:lang w:eastAsia="pt-BR"/>
        </w:rPr>
        <w:t xml:space="preserve">  Nesse sentido,</w:t>
      </w:r>
      <w:r w:rsidR="00AD2E5E">
        <w:rPr>
          <w:rFonts w:ascii="Times New Roman" w:hAnsi="Times New Roman" w:cs="Times New Roman"/>
          <w:lang w:eastAsia="pt-BR"/>
        </w:rPr>
        <w:t xml:space="preserve"> entende a mesma que o Estado institui</w:t>
      </w:r>
      <w:r w:rsidR="001F2AB7">
        <w:rPr>
          <w:rFonts w:ascii="Times New Roman" w:hAnsi="Times New Roman" w:cs="Times New Roman"/>
          <w:lang w:eastAsia="pt-BR"/>
        </w:rPr>
        <w:t>u</w:t>
      </w:r>
      <w:r w:rsidR="00AD2E5E">
        <w:rPr>
          <w:rFonts w:ascii="Times New Roman" w:hAnsi="Times New Roman" w:cs="Times New Roman"/>
          <w:lang w:eastAsia="pt-BR"/>
        </w:rPr>
        <w:t xml:space="preserve"> </w:t>
      </w:r>
      <w:r w:rsidR="001F2AB7">
        <w:rPr>
          <w:rFonts w:ascii="Times New Roman" w:hAnsi="Times New Roman" w:cs="Times New Roman"/>
          <w:lang w:eastAsia="pt-BR"/>
        </w:rPr>
        <w:t xml:space="preserve">uma </w:t>
      </w:r>
      <w:r w:rsidR="00AD2E5E">
        <w:rPr>
          <w:rFonts w:ascii="Times New Roman" w:hAnsi="Times New Roman" w:cs="Times New Roman"/>
          <w:lang w:eastAsia="pt-BR"/>
        </w:rPr>
        <w:t>norma que requer tempo de estudo de viabilidade, contrapartidas entre outros elementos primordiais para a elaboração de um decreto, sem efeito financeiro, inócuo quanto a sua motivação elementar de beneficiar o setor de cosméticos.</w:t>
      </w:r>
    </w:p>
    <w:p w:rsidR="002B4ABE" w:rsidRDefault="002B4ABE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A consulente apresenta </w:t>
      </w:r>
      <w:r w:rsidR="00EB42A7">
        <w:rPr>
          <w:rFonts w:ascii="Times New Roman" w:hAnsi="Times New Roman" w:cs="Times New Roman"/>
          <w:lang w:eastAsia="pt-BR"/>
        </w:rPr>
        <w:t>e</w:t>
      </w:r>
      <w:r>
        <w:rPr>
          <w:rFonts w:ascii="Times New Roman" w:hAnsi="Times New Roman" w:cs="Times New Roman"/>
          <w:lang w:eastAsia="pt-BR"/>
        </w:rPr>
        <w:t>xemplos comparativos</w:t>
      </w:r>
      <w:r w:rsidR="00EB42A7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conforme </w:t>
      </w:r>
      <w:r w:rsidR="00EB42A7">
        <w:rPr>
          <w:rFonts w:ascii="Times New Roman" w:hAnsi="Times New Roman" w:cs="Times New Roman"/>
          <w:lang w:eastAsia="pt-BR"/>
        </w:rPr>
        <w:t xml:space="preserve">quadro demonstrativo </w:t>
      </w:r>
      <w:r>
        <w:rPr>
          <w:rFonts w:ascii="Times New Roman" w:hAnsi="Times New Roman" w:cs="Times New Roman"/>
          <w:lang w:eastAsia="pt-BR"/>
        </w:rPr>
        <w:t>abaixo:</w:t>
      </w:r>
    </w:p>
    <w:tbl>
      <w:tblPr>
        <w:tblStyle w:val="Tabelacomgrade"/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"/>
        <w:gridCol w:w="15"/>
        <w:gridCol w:w="1874"/>
        <w:gridCol w:w="2574"/>
        <w:gridCol w:w="2812"/>
      </w:tblGrid>
      <w:tr w:rsidR="0052752C" w:rsidRPr="00C7487D" w:rsidTr="000C00E5">
        <w:trPr>
          <w:trHeight w:val="462"/>
        </w:trPr>
        <w:tc>
          <w:tcPr>
            <w:tcW w:w="9214" w:type="dxa"/>
            <w:gridSpan w:val="6"/>
          </w:tcPr>
          <w:p w:rsidR="0052752C" w:rsidRPr="00C7487D" w:rsidRDefault="002B4ABE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ab/>
            </w:r>
            <w:r w:rsidR="006C0AA1"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Preparações para manicuros e pedicuros</w:t>
            </w:r>
          </w:p>
        </w:tc>
      </w:tr>
      <w:tr w:rsidR="0052752C" w:rsidRPr="00C7487D" w:rsidTr="000C00E5">
        <w:trPr>
          <w:trHeight w:val="246"/>
        </w:trPr>
        <w:tc>
          <w:tcPr>
            <w:tcW w:w="1954" w:type="dxa"/>
            <w:gridSpan w:val="3"/>
          </w:tcPr>
          <w:p w:rsidR="0052752C" w:rsidRPr="00C7487D" w:rsidRDefault="00C7487D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Valores</w:t>
            </w:r>
          </w:p>
        </w:tc>
        <w:tc>
          <w:tcPr>
            <w:tcW w:w="1874" w:type="dxa"/>
          </w:tcPr>
          <w:p w:rsidR="0052752C" w:rsidRPr="00C7487D" w:rsidRDefault="00C7487D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Operação sem benefício</w:t>
            </w:r>
          </w:p>
        </w:tc>
        <w:tc>
          <w:tcPr>
            <w:tcW w:w="2574" w:type="dxa"/>
          </w:tcPr>
          <w:p w:rsidR="0052752C" w:rsidRPr="00C7487D" w:rsidRDefault="00C7487D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Operação com benefício somente</w:t>
            </w:r>
          </w:p>
          <w:p w:rsidR="00C7487D" w:rsidRPr="00C7487D" w:rsidRDefault="00C7487D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no</w:t>
            </w:r>
            <w:proofErr w:type="gramEnd"/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ICMS próprio</w:t>
            </w:r>
          </w:p>
        </w:tc>
        <w:tc>
          <w:tcPr>
            <w:tcW w:w="2812" w:type="dxa"/>
          </w:tcPr>
          <w:p w:rsidR="000C00E5" w:rsidRDefault="00ED53C8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Operação com benefício n</w:t>
            </w:r>
            <w:r w:rsidR="000C00E5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o </w:t>
            </w: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ICMS</w:t>
            </w:r>
          </w:p>
          <w:p w:rsidR="0052752C" w:rsidRPr="00C7487D" w:rsidRDefault="00ED53C8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próprio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e ICMS-ST</w:t>
            </w:r>
          </w:p>
        </w:tc>
      </w:tr>
      <w:tr w:rsidR="0062366F" w:rsidRPr="00C7487D" w:rsidTr="000C00E5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87"/>
        </w:trPr>
        <w:tc>
          <w:tcPr>
            <w:tcW w:w="1939" w:type="dxa"/>
            <w:gridSpan w:val="2"/>
          </w:tcPr>
          <w:p w:rsidR="0062366F" w:rsidRPr="00C7487D" w:rsidRDefault="00C7487D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lastRenderedPageBreak/>
              <w:t>Valor lí</w:t>
            </w: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quido do produ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to</w:t>
            </w:r>
          </w:p>
        </w:tc>
        <w:tc>
          <w:tcPr>
            <w:tcW w:w="1889" w:type="dxa"/>
            <w:gridSpan w:val="2"/>
          </w:tcPr>
          <w:p w:rsidR="0062366F" w:rsidRPr="00C7487D" w:rsidRDefault="00ED53C8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2574" w:type="dxa"/>
          </w:tcPr>
          <w:p w:rsidR="0062366F" w:rsidRPr="00C7487D" w:rsidRDefault="00001DD6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2812" w:type="dxa"/>
          </w:tcPr>
          <w:p w:rsidR="0062366F" w:rsidRPr="00C7487D" w:rsidRDefault="00001DD6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1.000,00</w:t>
            </w:r>
          </w:p>
        </w:tc>
      </w:tr>
      <w:tr w:rsidR="0062366F" w:rsidRPr="00C7487D" w:rsidTr="000C00E5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94"/>
        </w:trPr>
        <w:tc>
          <w:tcPr>
            <w:tcW w:w="1939" w:type="dxa"/>
            <w:gridSpan w:val="2"/>
          </w:tcPr>
          <w:p w:rsidR="0062366F" w:rsidRPr="00C7487D" w:rsidRDefault="007039D9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Alíquota ICMS próprio</w:t>
            </w:r>
          </w:p>
        </w:tc>
        <w:tc>
          <w:tcPr>
            <w:tcW w:w="1889" w:type="dxa"/>
            <w:gridSpan w:val="2"/>
          </w:tcPr>
          <w:p w:rsidR="0062366F" w:rsidRPr="00C7487D" w:rsidRDefault="007039D9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18%</w:t>
            </w:r>
          </w:p>
        </w:tc>
        <w:tc>
          <w:tcPr>
            <w:tcW w:w="2574" w:type="dxa"/>
          </w:tcPr>
          <w:p w:rsidR="0062366F" w:rsidRPr="00C7487D" w:rsidRDefault="007039D9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12%</w:t>
            </w:r>
          </w:p>
        </w:tc>
        <w:tc>
          <w:tcPr>
            <w:tcW w:w="2812" w:type="dxa"/>
          </w:tcPr>
          <w:p w:rsidR="0062366F" w:rsidRPr="00C7487D" w:rsidRDefault="007039D9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12%</w:t>
            </w:r>
          </w:p>
        </w:tc>
      </w:tr>
      <w:tr w:rsidR="0062366F" w:rsidRPr="00C7487D" w:rsidTr="000C00E5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1939" w:type="dxa"/>
            <w:gridSpan w:val="2"/>
          </w:tcPr>
          <w:p w:rsidR="0062366F" w:rsidRPr="00C7487D" w:rsidRDefault="00854A4D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ICMS próprio</w:t>
            </w:r>
          </w:p>
        </w:tc>
        <w:tc>
          <w:tcPr>
            <w:tcW w:w="1889" w:type="dxa"/>
            <w:gridSpan w:val="2"/>
          </w:tcPr>
          <w:p w:rsidR="0062366F" w:rsidRPr="00C7487D" w:rsidRDefault="00854A4D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2574" w:type="dxa"/>
          </w:tcPr>
          <w:p w:rsidR="0062366F" w:rsidRPr="00C7487D" w:rsidRDefault="00854A4D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2812" w:type="dxa"/>
          </w:tcPr>
          <w:p w:rsidR="0062366F" w:rsidRPr="00C7487D" w:rsidRDefault="00854A4D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120,00</w:t>
            </w:r>
          </w:p>
        </w:tc>
      </w:tr>
      <w:tr w:rsidR="0062366F" w:rsidRPr="00C7487D" w:rsidTr="000C00E5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86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Frete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50,00</w:t>
            </w:r>
          </w:p>
        </w:tc>
      </w:tr>
      <w:tr w:rsidR="0062366F" w:rsidRPr="00C7487D" w:rsidTr="0011280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60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IPI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160,00</w:t>
            </w:r>
          </w:p>
        </w:tc>
      </w:tr>
      <w:tr w:rsidR="0062366F" w:rsidRPr="00C7487D" w:rsidTr="00194E31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78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MVA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60,79%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60,79%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60,79%</w:t>
            </w:r>
          </w:p>
        </w:tc>
      </w:tr>
      <w:tr w:rsidR="0062366F" w:rsidRPr="00C7487D" w:rsidTr="00194E31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82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BC ICMS ST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1.945,56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1.945,56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1.945,56</w:t>
            </w:r>
          </w:p>
        </w:tc>
      </w:tr>
      <w:tr w:rsidR="0062366F" w:rsidRPr="00C7487D" w:rsidTr="00194E31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58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Alíquota ICMS ST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18%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18%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12%</w:t>
            </w:r>
          </w:p>
        </w:tc>
      </w:tr>
      <w:tr w:rsidR="0062366F" w:rsidRPr="00C7487D" w:rsidTr="00194E31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76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ICMS ST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170,20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230,20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113,47</w:t>
            </w:r>
          </w:p>
        </w:tc>
      </w:tr>
      <w:tr w:rsidR="0062366F" w:rsidRPr="00C7487D" w:rsidTr="00194E31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66"/>
        </w:trPr>
        <w:tc>
          <w:tcPr>
            <w:tcW w:w="1939" w:type="dxa"/>
            <w:gridSpan w:val="2"/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Alíquota FECP</w:t>
            </w:r>
          </w:p>
        </w:tc>
        <w:tc>
          <w:tcPr>
            <w:tcW w:w="1889" w:type="dxa"/>
            <w:gridSpan w:val="2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2%</w:t>
            </w:r>
          </w:p>
        </w:tc>
        <w:tc>
          <w:tcPr>
            <w:tcW w:w="2574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2%</w:t>
            </w:r>
          </w:p>
        </w:tc>
        <w:tc>
          <w:tcPr>
            <w:tcW w:w="2812" w:type="dxa"/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2%</w:t>
            </w:r>
          </w:p>
        </w:tc>
      </w:tr>
      <w:tr w:rsidR="0062366F" w:rsidRPr="00C7487D" w:rsidTr="00194E31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84"/>
        </w:trPr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62366F" w:rsidRPr="00C7487D" w:rsidRDefault="000C00E5" w:rsidP="00671300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FECP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38,91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38,91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62366F" w:rsidRPr="00C7487D" w:rsidRDefault="000C00E5" w:rsidP="00671300">
            <w:pPr>
              <w:ind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38,91</w:t>
            </w:r>
          </w:p>
        </w:tc>
      </w:tr>
      <w:tr w:rsidR="00155A61" w:rsidRPr="00C7487D" w:rsidTr="006D1E04">
        <w:trPr>
          <w:trHeight w:val="274"/>
        </w:trPr>
        <w:tc>
          <w:tcPr>
            <w:tcW w:w="1932" w:type="dxa"/>
          </w:tcPr>
          <w:p w:rsidR="00155A61" w:rsidRPr="00C7487D" w:rsidRDefault="0076429F" w:rsidP="00671300">
            <w:pPr>
              <w:spacing w:after="200"/>
              <w:ind w:left="108"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7487D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Total Carga Tributária</w:t>
            </w:r>
          </w:p>
        </w:tc>
        <w:tc>
          <w:tcPr>
            <w:tcW w:w="1896" w:type="dxa"/>
            <w:gridSpan w:val="3"/>
          </w:tcPr>
          <w:p w:rsidR="00155A61" w:rsidRPr="00C7487D" w:rsidRDefault="000C00E5" w:rsidP="00671300">
            <w:pPr>
              <w:ind w:left="108"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389,11</w:t>
            </w:r>
          </w:p>
        </w:tc>
        <w:tc>
          <w:tcPr>
            <w:tcW w:w="2574" w:type="dxa"/>
          </w:tcPr>
          <w:p w:rsidR="00155A61" w:rsidRPr="00C7487D" w:rsidRDefault="000C00E5" w:rsidP="00671300">
            <w:pPr>
              <w:ind w:left="108"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389,11</w:t>
            </w:r>
          </w:p>
        </w:tc>
        <w:tc>
          <w:tcPr>
            <w:tcW w:w="2812" w:type="dxa"/>
          </w:tcPr>
          <w:p w:rsidR="00155A61" w:rsidRPr="00C7487D" w:rsidRDefault="000C00E5" w:rsidP="00671300">
            <w:pPr>
              <w:ind w:left="108" w:right="-852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272,38</w:t>
            </w:r>
          </w:p>
        </w:tc>
      </w:tr>
      <w:tr w:rsidR="0076429F" w:rsidRPr="00C7487D" w:rsidTr="006D1E04">
        <w:trPr>
          <w:gridBefore w:val="1"/>
          <w:wBefore w:w="1932" w:type="dxa"/>
          <w:trHeight w:val="138"/>
        </w:trPr>
        <w:tc>
          <w:tcPr>
            <w:tcW w:w="4470" w:type="dxa"/>
            <w:gridSpan w:val="4"/>
          </w:tcPr>
          <w:p w:rsidR="0076429F" w:rsidRPr="00C7487D" w:rsidRDefault="000C00E5" w:rsidP="00F5703B">
            <w:pPr>
              <w:spacing w:after="200"/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Não </w:t>
            </w:r>
            <w:r w:rsidR="00F5703B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á Benefício </w:t>
            </w:r>
            <w:r w:rsidR="00F5703B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inanceiro </w:t>
            </w:r>
            <w:r w:rsidR="00F5703B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a </w:t>
            </w:r>
            <w:r w:rsidR="00F5703B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peração</w:t>
            </w:r>
          </w:p>
        </w:tc>
        <w:tc>
          <w:tcPr>
            <w:tcW w:w="2812" w:type="dxa"/>
            <w:shd w:val="clear" w:color="auto" w:fill="auto"/>
          </w:tcPr>
          <w:p w:rsidR="0076429F" w:rsidRPr="00C7487D" w:rsidRDefault="000C00E5" w:rsidP="00671300">
            <w:pPr>
              <w:ind w:right="-85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Há benefício financeiro na operação</w:t>
            </w:r>
          </w:p>
        </w:tc>
      </w:tr>
    </w:tbl>
    <w:p w:rsidR="005C6AA1" w:rsidRDefault="005C6AA1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</w:p>
    <w:p w:rsidR="00AD2E5E" w:rsidRDefault="00AD2E5E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40A08">
        <w:rPr>
          <w:rFonts w:ascii="Times New Roman" w:hAnsi="Times New Roman" w:cs="Times New Roman"/>
          <w:lang w:eastAsia="pt-BR"/>
        </w:rPr>
        <w:t xml:space="preserve">A </w:t>
      </w:r>
      <w:r w:rsidR="0089743B">
        <w:rPr>
          <w:rFonts w:ascii="Times New Roman" w:hAnsi="Times New Roman" w:cs="Times New Roman"/>
          <w:lang w:eastAsia="pt-BR"/>
        </w:rPr>
        <w:t xml:space="preserve">despeito da </w:t>
      </w:r>
      <w:r>
        <w:rPr>
          <w:rFonts w:ascii="Times New Roman" w:hAnsi="Times New Roman" w:cs="Times New Roman"/>
          <w:lang w:eastAsia="pt-BR"/>
        </w:rPr>
        <w:t xml:space="preserve">literalidade da disposição do decreto, bem como a atuação sobre mercadorias enquadradas no regime de substituição tributária, entende a consulente que há aplicabilidade do benefício fiscal em </w:t>
      </w:r>
      <w:r w:rsidR="00EB42A7">
        <w:rPr>
          <w:rFonts w:ascii="Times New Roman" w:hAnsi="Times New Roman" w:cs="Times New Roman"/>
          <w:lang w:eastAsia="pt-BR"/>
        </w:rPr>
        <w:t xml:space="preserve">questão </w:t>
      </w:r>
      <w:r w:rsidR="0068691F">
        <w:rPr>
          <w:rFonts w:ascii="Times New Roman" w:hAnsi="Times New Roman" w:cs="Times New Roman"/>
          <w:lang w:eastAsia="pt-BR"/>
        </w:rPr>
        <w:t>às suas transferências</w:t>
      </w:r>
      <w:r>
        <w:rPr>
          <w:rFonts w:ascii="Times New Roman" w:hAnsi="Times New Roman" w:cs="Times New Roman"/>
          <w:lang w:eastAsia="pt-BR"/>
        </w:rPr>
        <w:t xml:space="preserve"> </w:t>
      </w:r>
      <w:r w:rsidR="0068691F">
        <w:rPr>
          <w:rFonts w:ascii="Times New Roman" w:hAnsi="Times New Roman" w:cs="Times New Roman"/>
          <w:lang w:eastAsia="pt-BR"/>
        </w:rPr>
        <w:t xml:space="preserve">provenientes do Centro de Distribuição </w:t>
      </w:r>
      <w:r w:rsidR="00EB42A7">
        <w:rPr>
          <w:rFonts w:ascii="Times New Roman" w:hAnsi="Times New Roman" w:cs="Times New Roman"/>
          <w:lang w:eastAsia="pt-BR"/>
        </w:rPr>
        <w:t xml:space="preserve">destinadas </w:t>
      </w:r>
      <w:r w:rsidR="0068691F">
        <w:rPr>
          <w:rFonts w:ascii="Times New Roman" w:hAnsi="Times New Roman" w:cs="Times New Roman"/>
          <w:lang w:eastAsia="pt-BR"/>
        </w:rPr>
        <w:t>às lojas localizadas neste Estado.</w:t>
      </w:r>
    </w:p>
    <w:p w:rsidR="0089743B" w:rsidRDefault="0089743B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Todavia, esclarece a mesma que atualmente não aplica a redução às transferências internas que pratica, mantendo o objetivo de agir na mais perfeita conformidade com </w:t>
      </w:r>
      <w:r w:rsidR="00570B7D">
        <w:rPr>
          <w:rFonts w:ascii="Times New Roman" w:hAnsi="Times New Roman" w:cs="Times New Roman"/>
          <w:lang w:eastAsia="pt-BR"/>
        </w:rPr>
        <w:t>as determinações</w:t>
      </w:r>
      <w:r>
        <w:rPr>
          <w:rFonts w:ascii="Times New Roman" w:hAnsi="Times New Roman" w:cs="Times New Roman"/>
          <w:lang w:eastAsia="pt-BR"/>
        </w:rPr>
        <w:t xml:space="preserve"> do fisco estadual.</w:t>
      </w:r>
    </w:p>
    <w:p w:rsidR="0089743B" w:rsidRPr="0089743B" w:rsidRDefault="0089743B" w:rsidP="00671300">
      <w:pPr>
        <w:spacing w:line="360" w:lineRule="auto"/>
        <w:ind w:right="-852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89743B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89743B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89743B" w:rsidRDefault="0089743B" w:rsidP="00671300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É correto o entendimento segundo o qual a aplicação da redução d</w:t>
      </w:r>
      <w:r w:rsidR="00EB42A7">
        <w:rPr>
          <w:rFonts w:ascii="Times New Roman" w:hAnsi="Times New Roman" w:cs="Times New Roman"/>
          <w:lang w:eastAsia="pt-BR"/>
        </w:rPr>
        <w:t>e</w:t>
      </w:r>
      <w:r>
        <w:rPr>
          <w:rFonts w:ascii="Times New Roman" w:hAnsi="Times New Roman" w:cs="Times New Roman"/>
          <w:lang w:eastAsia="pt-BR"/>
        </w:rPr>
        <w:t xml:space="preserve"> base de cálculo estabelecida no artigo 2º do Decreto n.º 43.922/12 se aplica às mercadorias sujeitas ao regime de substituição tributária?</w:t>
      </w:r>
    </w:p>
    <w:p w:rsidR="00EF07B0" w:rsidRPr="00EF07B0" w:rsidRDefault="0089743B" w:rsidP="00671300">
      <w:pPr>
        <w:spacing w:line="360" w:lineRule="auto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480EFC">
        <w:rPr>
          <w:rFonts w:ascii="Times New Roman" w:hAnsi="Times New Roman" w:cs="Times New Roman"/>
        </w:rPr>
        <w:t>1</w:t>
      </w:r>
      <w:r w:rsidR="0074739C">
        <w:rPr>
          <w:rFonts w:ascii="Times New Roman" w:hAnsi="Times New Roman" w:cs="Times New Roman"/>
        </w:rPr>
        <w:t>0</w:t>
      </w:r>
      <w:r w:rsidR="00EF07B0" w:rsidRPr="00EF07B0">
        <w:rPr>
          <w:rFonts w:ascii="Times New Roman" w:hAnsi="Times New Roman" w:cs="Times New Roman"/>
        </w:rPr>
        <w:t>/</w:t>
      </w:r>
      <w:r w:rsidR="00480EFC">
        <w:rPr>
          <w:rFonts w:ascii="Times New Roman" w:hAnsi="Times New Roman" w:cs="Times New Roman"/>
        </w:rPr>
        <w:t>12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74739C">
        <w:rPr>
          <w:rFonts w:ascii="Times New Roman" w:hAnsi="Times New Roman" w:cs="Times New Roman"/>
        </w:rPr>
        <w:t>0</w:t>
      </w:r>
      <w:r w:rsidR="00480EFC">
        <w:rPr>
          <w:rFonts w:ascii="Times New Roman" w:hAnsi="Times New Roman" w:cs="Times New Roman"/>
        </w:rPr>
        <w:t>9/09-v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570B7D">
        <w:rPr>
          <w:rFonts w:ascii="Times New Roman" w:hAnsi="Times New Roman" w:cs="Times New Roman"/>
        </w:rPr>
        <w:t>17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570B7D" w:rsidP="00671300">
      <w:pPr>
        <w:ind w:right="-852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ab/>
      </w:r>
      <w:r w:rsidR="00EF07B0"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="006768A6">
        <w:rPr>
          <w:rFonts w:ascii="Times New Roman" w:hAnsi="Times New Roman" w:cs="Times New Roman"/>
          <w:b/>
          <w:smallCaps/>
        </w:rPr>
        <w:t xml:space="preserve">, </w:t>
      </w:r>
      <w:r w:rsidR="00EF07B0" w:rsidRPr="0074739C">
        <w:rPr>
          <w:rFonts w:ascii="Times New Roman" w:hAnsi="Times New Roman" w:cs="Times New Roman"/>
          <w:b/>
          <w:smallCaps/>
        </w:rPr>
        <w:t>F</w:t>
      </w:r>
      <w:r w:rsidR="006974F9">
        <w:rPr>
          <w:rFonts w:ascii="Times New Roman" w:hAnsi="Times New Roman" w:cs="Times New Roman"/>
          <w:b/>
          <w:smallCaps/>
        </w:rPr>
        <w:t xml:space="preserve">undamentação e </w:t>
      </w:r>
      <w:r w:rsidR="00EF07B0" w:rsidRPr="00EF07B0">
        <w:rPr>
          <w:rFonts w:ascii="Times New Roman" w:hAnsi="Times New Roman" w:cs="Times New Roman"/>
          <w:b/>
          <w:smallCaps/>
        </w:rPr>
        <w:t>Resposta:</w:t>
      </w:r>
    </w:p>
    <w:p w:rsidR="000837FE" w:rsidRDefault="006768A6" w:rsidP="00671300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="00671300">
        <w:rPr>
          <w:rFonts w:ascii="Times New Roman" w:hAnsi="Times New Roman" w:cs="Times New Roman"/>
        </w:rPr>
        <w:t xml:space="preserve">O </w:t>
      </w:r>
      <w:r w:rsidR="00A40CAD" w:rsidRPr="00FB0DE8">
        <w:rPr>
          <w:rFonts w:ascii="Times New Roman" w:hAnsi="Times New Roman" w:cs="Times New Roman"/>
        </w:rPr>
        <w:t>artigo 2º do Decr</w:t>
      </w:r>
      <w:r w:rsidR="00671300">
        <w:rPr>
          <w:rFonts w:ascii="Times New Roman" w:hAnsi="Times New Roman" w:cs="Times New Roman"/>
        </w:rPr>
        <w:t>eto n.º 43.922/12 é claro</w:t>
      </w:r>
      <w:r w:rsidR="00A13F08">
        <w:rPr>
          <w:rFonts w:ascii="Times New Roman" w:hAnsi="Times New Roman" w:cs="Times New Roman"/>
        </w:rPr>
        <w:t xml:space="preserve">, </w:t>
      </w:r>
      <w:r w:rsidR="00671300">
        <w:rPr>
          <w:rFonts w:ascii="Times New Roman" w:hAnsi="Times New Roman" w:cs="Times New Roman"/>
        </w:rPr>
        <w:t>concede redução d</w:t>
      </w:r>
      <w:r w:rsidR="00EB42A7">
        <w:rPr>
          <w:rFonts w:ascii="Times New Roman" w:hAnsi="Times New Roman" w:cs="Times New Roman"/>
        </w:rPr>
        <w:t>e</w:t>
      </w:r>
      <w:r w:rsidR="00671300">
        <w:rPr>
          <w:rFonts w:ascii="Times New Roman" w:hAnsi="Times New Roman" w:cs="Times New Roman"/>
        </w:rPr>
        <w:t xml:space="preserve"> base de cálculo do ICMS </w:t>
      </w:r>
      <w:r w:rsidR="00671300" w:rsidRPr="00671300">
        <w:rPr>
          <w:rFonts w:ascii="Times New Roman" w:hAnsi="Times New Roman" w:cs="Times New Roman"/>
        </w:rPr>
        <w:t xml:space="preserve">na operação de saída interna, com destino a contribuinte do imposto, promovida por industrial, importador, </w:t>
      </w:r>
      <w:r w:rsidR="00671300" w:rsidRPr="00671300">
        <w:rPr>
          <w:rFonts w:ascii="Times New Roman" w:hAnsi="Times New Roman" w:cs="Times New Roman"/>
        </w:rPr>
        <w:lastRenderedPageBreak/>
        <w:t xml:space="preserve">distribuidor ou atacadista, das mercadorias relacionadas nos </w:t>
      </w:r>
      <w:r w:rsidR="00671300">
        <w:rPr>
          <w:rFonts w:ascii="Times New Roman" w:hAnsi="Times New Roman" w:cs="Times New Roman"/>
        </w:rPr>
        <w:t xml:space="preserve">seus </w:t>
      </w:r>
      <w:r w:rsidR="00671300" w:rsidRPr="00671300">
        <w:rPr>
          <w:rFonts w:ascii="Times New Roman" w:hAnsi="Times New Roman" w:cs="Times New Roman"/>
        </w:rPr>
        <w:t>subitens de forma que a incidência do imposto resulte no percentual de 1</w:t>
      </w:r>
      <w:r w:rsidR="00671300">
        <w:rPr>
          <w:rFonts w:ascii="Times New Roman" w:hAnsi="Times New Roman" w:cs="Times New Roman"/>
        </w:rPr>
        <w:t>4</w:t>
      </w:r>
      <w:r w:rsidR="00671300" w:rsidRPr="00671300">
        <w:rPr>
          <w:rFonts w:ascii="Times New Roman" w:hAnsi="Times New Roman" w:cs="Times New Roman"/>
        </w:rPr>
        <w:t>% (</w:t>
      </w:r>
      <w:r w:rsidR="00671300">
        <w:rPr>
          <w:rFonts w:ascii="Times New Roman" w:hAnsi="Times New Roman" w:cs="Times New Roman"/>
        </w:rPr>
        <w:t xml:space="preserve">quatorze </w:t>
      </w:r>
      <w:r w:rsidR="00671300" w:rsidRPr="00671300">
        <w:rPr>
          <w:rFonts w:ascii="Times New Roman" w:hAnsi="Times New Roman" w:cs="Times New Roman"/>
        </w:rPr>
        <w:t xml:space="preserve">por cento) </w:t>
      </w:r>
      <w:r w:rsidR="00671300" w:rsidRPr="00671300">
        <w:rPr>
          <w:rFonts w:ascii="Times New Roman" w:hAnsi="Times New Roman" w:cs="Times New Roman"/>
          <w:b/>
          <w:u w:val="single"/>
        </w:rPr>
        <w:t>sobre o valor da operação própria</w:t>
      </w:r>
      <w:r w:rsidR="00671300" w:rsidRPr="00671300">
        <w:rPr>
          <w:rFonts w:ascii="Times New Roman" w:hAnsi="Times New Roman" w:cs="Times New Roman"/>
        </w:rPr>
        <w:t xml:space="preserve">, sendo que </w:t>
      </w:r>
      <w:r w:rsidR="00671300">
        <w:rPr>
          <w:rFonts w:ascii="Times New Roman" w:hAnsi="Times New Roman" w:cs="Times New Roman"/>
        </w:rPr>
        <w:t>2</w:t>
      </w:r>
      <w:r w:rsidR="00671300" w:rsidRPr="00671300">
        <w:rPr>
          <w:rFonts w:ascii="Times New Roman" w:hAnsi="Times New Roman" w:cs="Times New Roman"/>
        </w:rPr>
        <w:t>% (</w:t>
      </w:r>
      <w:r w:rsidR="00671300">
        <w:rPr>
          <w:rFonts w:ascii="Times New Roman" w:hAnsi="Times New Roman" w:cs="Times New Roman"/>
        </w:rPr>
        <w:t>dois p</w:t>
      </w:r>
      <w:r w:rsidR="00671300" w:rsidRPr="00671300">
        <w:rPr>
          <w:rFonts w:ascii="Times New Roman" w:hAnsi="Times New Roman" w:cs="Times New Roman"/>
        </w:rPr>
        <w:t>or cento) será destinado ao FECP</w:t>
      </w:r>
      <w:r w:rsidR="002F315F">
        <w:rPr>
          <w:rFonts w:ascii="Times New Roman" w:hAnsi="Times New Roman" w:cs="Times New Roman"/>
        </w:rPr>
        <w:t xml:space="preserve">.  </w:t>
      </w:r>
      <w:r w:rsidR="00F5703B">
        <w:rPr>
          <w:rFonts w:ascii="Times New Roman" w:hAnsi="Times New Roman" w:cs="Times New Roman"/>
        </w:rPr>
        <w:t xml:space="preserve">Portanto, a consulente deve </w:t>
      </w:r>
      <w:r w:rsidR="008A59BB">
        <w:rPr>
          <w:rFonts w:ascii="Times New Roman" w:hAnsi="Times New Roman" w:cs="Times New Roman"/>
        </w:rPr>
        <w:t xml:space="preserve">assentir </w:t>
      </w:r>
      <w:r w:rsidR="00F5703B">
        <w:rPr>
          <w:rFonts w:ascii="Times New Roman" w:hAnsi="Times New Roman" w:cs="Times New Roman"/>
        </w:rPr>
        <w:t xml:space="preserve">que </w:t>
      </w:r>
      <w:r w:rsidR="002F315F">
        <w:rPr>
          <w:rFonts w:ascii="Times New Roman" w:hAnsi="Times New Roman" w:cs="Times New Roman"/>
        </w:rPr>
        <w:t>o benef</w:t>
      </w:r>
      <w:r w:rsidR="008F7363">
        <w:rPr>
          <w:rFonts w:ascii="Times New Roman" w:hAnsi="Times New Roman" w:cs="Times New Roman"/>
        </w:rPr>
        <w:t xml:space="preserve">ício foi concedido </w:t>
      </w:r>
      <w:r w:rsidR="00702BAC">
        <w:rPr>
          <w:rFonts w:ascii="Times New Roman" w:hAnsi="Times New Roman" w:cs="Times New Roman"/>
        </w:rPr>
        <w:t xml:space="preserve">com intuito de </w:t>
      </w:r>
      <w:r w:rsidR="00102DA6">
        <w:rPr>
          <w:rFonts w:ascii="Times New Roman" w:hAnsi="Times New Roman" w:cs="Times New Roman"/>
        </w:rPr>
        <w:t xml:space="preserve">reduzir o peso do ICMS </w:t>
      </w:r>
      <w:r w:rsidR="00E5125E">
        <w:rPr>
          <w:rFonts w:ascii="Times New Roman" w:hAnsi="Times New Roman" w:cs="Times New Roman"/>
        </w:rPr>
        <w:t xml:space="preserve">somente </w:t>
      </w:r>
      <w:r w:rsidR="00102DA6">
        <w:rPr>
          <w:rFonts w:ascii="Times New Roman" w:hAnsi="Times New Roman" w:cs="Times New Roman"/>
        </w:rPr>
        <w:t>n</w:t>
      </w:r>
      <w:r w:rsidR="008F7363">
        <w:rPr>
          <w:rFonts w:ascii="Times New Roman" w:hAnsi="Times New Roman" w:cs="Times New Roman"/>
        </w:rPr>
        <w:t>a</w:t>
      </w:r>
      <w:r w:rsidR="00102DA6">
        <w:rPr>
          <w:rFonts w:ascii="Times New Roman" w:hAnsi="Times New Roman" w:cs="Times New Roman"/>
        </w:rPr>
        <w:t xml:space="preserve"> operação </w:t>
      </w:r>
      <w:r w:rsidR="00702BAC">
        <w:rPr>
          <w:rFonts w:ascii="Times New Roman" w:hAnsi="Times New Roman" w:cs="Times New Roman"/>
        </w:rPr>
        <w:t>própria d</w:t>
      </w:r>
      <w:r w:rsidR="008F7363">
        <w:rPr>
          <w:rFonts w:ascii="Times New Roman" w:hAnsi="Times New Roman" w:cs="Times New Roman"/>
        </w:rPr>
        <w:t xml:space="preserve">o </w:t>
      </w:r>
      <w:r w:rsidR="008F7363" w:rsidRPr="00671300">
        <w:rPr>
          <w:rFonts w:ascii="Times New Roman" w:hAnsi="Times New Roman" w:cs="Times New Roman"/>
        </w:rPr>
        <w:t>industrial, importador</w:t>
      </w:r>
      <w:r w:rsidR="008F7363">
        <w:rPr>
          <w:rFonts w:ascii="Times New Roman" w:hAnsi="Times New Roman" w:cs="Times New Roman"/>
        </w:rPr>
        <w:t xml:space="preserve"> ou </w:t>
      </w:r>
      <w:r w:rsidR="008F7363" w:rsidRPr="00671300">
        <w:rPr>
          <w:rFonts w:ascii="Times New Roman" w:hAnsi="Times New Roman" w:cs="Times New Roman"/>
        </w:rPr>
        <w:t>distribuidor</w:t>
      </w:r>
      <w:r w:rsidR="008F7363">
        <w:rPr>
          <w:rFonts w:ascii="Times New Roman" w:hAnsi="Times New Roman" w:cs="Times New Roman"/>
        </w:rPr>
        <w:t>/</w:t>
      </w:r>
      <w:r w:rsidR="008F7363" w:rsidRPr="00671300">
        <w:rPr>
          <w:rFonts w:ascii="Times New Roman" w:hAnsi="Times New Roman" w:cs="Times New Roman"/>
        </w:rPr>
        <w:t>atacadista</w:t>
      </w:r>
      <w:r w:rsidR="004247CF">
        <w:rPr>
          <w:rFonts w:ascii="Times New Roman" w:hAnsi="Times New Roman" w:cs="Times New Roman"/>
        </w:rPr>
        <w:t xml:space="preserve"> estabelecidos neste Estado</w:t>
      </w:r>
      <w:r w:rsidR="00702BAC">
        <w:rPr>
          <w:rFonts w:ascii="Times New Roman" w:hAnsi="Times New Roman" w:cs="Times New Roman"/>
        </w:rPr>
        <w:t xml:space="preserve">, </w:t>
      </w:r>
      <w:r w:rsidR="004D7120">
        <w:rPr>
          <w:rFonts w:ascii="Times New Roman" w:hAnsi="Times New Roman" w:cs="Times New Roman"/>
        </w:rPr>
        <w:t xml:space="preserve">e não concebido para </w:t>
      </w:r>
      <w:r w:rsidR="00702BAC">
        <w:rPr>
          <w:rFonts w:ascii="Times New Roman" w:hAnsi="Times New Roman" w:cs="Times New Roman"/>
        </w:rPr>
        <w:t xml:space="preserve">reduzir </w:t>
      </w:r>
      <w:r w:rsidR="008A59BB">
        <w:rPr>
          <w:rFonts w:ascii="Times New Roman" w:hAnsi="Times New Roman" w:cs="Times New Roman"/>
        </w:rPr>
        <w:t xml:space="preserve">o total do </w:t>
      </w:r>
      <w:r w:rsidR="00702BAC">
        <w:rPr>
          <w:rFonts w:ascii="Times New Roman" w:hAnsi="Times New Roman" w:cs="Times New Roman"/>
        </w:rPr>
        <w:t xml:space="preserve">ICMS sobre o </w:t>
      </w:r>
      <w:r w:rsidR="004247CF">
        <w:rPr>
          <w:rFonts w:ascii="Times New Roman" w:hAnsi="Times New Roman" w:cs="Times New Roman"/>
        </w:rPr>
        <w:t>produto, em termos que não admitem a prosperação de dúvidas.</w:t>
      </w:r>
    </w:p>
    <w:p w:rsidR="0077465F" w:rsidRPr="0077465F" w:rsidRDefault="004E3360" w:rsidP="00F5703B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caso seja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49426B">
        <w:rPr>
          <w:rFonts w:ascii="Times New Roman" w:hAnsi="Times New Roman" w:cs="Times New Roman"/>
        </w:rPr>
        <w:t xml:space="preserve"> 24 </w:t>
      </w:r>
      <w:r w:rsidR="001858F7" w:rsidRPr="00EF07B0">
        <w:rPr>
          <w:rFonts w:ascii="Times New Roman" w:hAnsi="Times New Roman" w:cs="Times New Roman"/>
        </w:rPr>
        <w:t>de</w:t>
      </w:r>
      <w:r w:rsidR="0049426B">
        <w:rPr>
          <w:rFonts w:ascii="Times New Roman" w:hAnsi="Times New Roman" w:cs="Times New Roman"/>
        </w:rPr>
        <w:t xml:space="preserve"> agosto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987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6" w:rsidRDefault="009875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6" w:rsidRDefault="009875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6" w:rsidRDefault="00987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6" w:rsidRDefault="009875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5EB578C6" wp14:editId="72E71B7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9F12E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9F12EF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9F12EF">
                  <w:rPr>
                    <w:rFonts w:ascii="Times New Roman" w:hAnsi="Times New Roman"/>
                    <w:sz w:val="20"/>
                  </w:rPr>
                  <w:t>1756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9F12EF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9F12E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9F12EF">
                  <w:rPr>
                    <w:rFonts w:ascii="Times New Roman" w:hAnsi="Times New Roman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9F12EF">
                  <w:rPr>
                    <w:rFonts w:ascii="Times New Roman" w:hAnsi="Times New Roman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9F12EF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987506">
                  <w:rPr>
                    <w:rFonts w:ascii="Times New Roman" w:hAnsi="Times New Roman"/>
                    <w:noProof/>
                    <w:sz w:val="20"/>
                  </w:rPr>
                  <w:t>22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6" w:rsidRDefault="009875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DD6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509C2"/>
    <w:rsid w:val="00074B43"/>
    <w:rsid w:val="0008336D"/>
    <w:rsid w:val="000837FE"/>
    <w:rsid w:val="00084D3B"/>
    <w:rsid w:val="00086369"/>
    <w:rsid w:val="000C00E5"/>
    <w:rsid w:val="000C2877"/>
    <w:rsid w:val="000D0439"/>
    <w:rsid w:val="000D6F55"/>
    <w:rsid w:val="000E6D09"/>
    <w:rsid w:val="000F30B1"/>
    <w:rsid w:val="000F63EE"/>
    <w:rsid w:val="00100B3B"/>
    <w:rsid w:val="00102DA6"/>
    <w:rsid w:val="00111C59"/>
    <w:rsid w:val="001126BB"/>
    <w:rsid w:val="0011280D"/>
    <w:rsid w:val="00120539"/>
    <w:rsid w:val="001214F5"/>
    <w:rsid w:val="00121FC1"/>
    <w:rsid w:val="001233D6"/>
    <w:rsid w:val="001376CF"/>
    <w:rsid w:val="00140A08"/>
    <w:rsid w:val="0014427E"/>
    <w:rsid w:val="0014555C"/>
    <w:rsid w:val="001503A7"/>
    <w:rsid w:val="00155A61"/>
    <w:rsid w:val="00157300"/>
    <w:rsid w:val="00163A2D"/>
    <w:rsid w:val="00166FDB"/>
    <w:rsid w:val="001760E5"/>
    <w:rsid w:val="001819B0"/>
    <w:rsid w:val="001831C9"/>
    <w:rsid w:val="001858F7"/>
    <w:rsid w:val="00194E31"/>
    <w:rsid w:val="001A369A"/>
    <w:rsid w:val="001C7B3E"/>
    <w:rsid w:val="001D4967"/>
    <w:rsid w:val="001E13FA"/>
    <w:rsid w:val="001E4F56"/>
    <w:rsid w:val="001E6428"/>
    <w:rsid w:val="001F2AB7"/>
    <w:rsid w:val="001F309B"/>
    <w:rsid w:val="001F3F43"/>
    <w:rsid w:val="001F7132"/>
    <w:rsid w:val="00205092"/>
    <w:rsid w:val="00207272"/>
    <w:rsid w:val="00210225"/>
    <w:rsid w:val="00211A66"/>
    <w:rsid w:val="002124DC"/>
    <w:rsid w:val="00213C6F"/>
    <w:rsid w:val="00225DB8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72EA9"/>
    <w:rsid w:val="002830AD"/>
    <w:rsid w:val="0028490E"/>
    <w:rsid w:val="00286428"/>
    <w:rsid w:val="0029309F"/>
    <w:rsid w:val="00296DAB"/>
    <w:rsid w:val="002A3BD8"/>
    <w:rsid w:val="002B25A7"/>
    <w:rsid w:val="002B4ABE"/>
    <w:rsid w:val="002C280E"/>
    <w:rsid w:val="002E38C5"/>
    <w:rsid w:val="002F315F"/>
    <w:rsid w:val="002F5AAC"/>
    <w:rsid w:val="00300997"/>
    <w:rsid w:val="0031310D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A4E9A"/>
    <w:rsid w:val="003A5FF4"/>
    <w:rsid w:val="003A6283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247CF"/>
    <w:rsid w:val="00447CB2"/>
    <w:rsid w:val="00455FAC"/>
    <w:rsid w:val="00462AC3"/>
    <w:rsid w:val="004729F7"/>
    <w:rsid w:val="00473E16"/>
    <w:rsid w:val="00476799"/>
    <w:rsid w:val="00480304"/>
    <w:rsid w:val="00480EFC"/>
    <w:rsid w:val="00481E33"/>
    <w:rsid w:val="00481F61"/>
    <w:rsid w:val="004825A8"/>
    <w:rsid w:val="00482C57"/>
    <w:rsid w:val="00483017"/>
    <w:rsid w:val="0048713B"/>
    <w:rsid w:val="00493457"/>
    <w:rsid w:val="00493AE4"/>
    <w:rsid w:val="0049426B"/>
    <w:rsid w:val="004978EC"/>
    <w:rsid w:val="004A02C8"/>
    <w:rsid w:val="004B0BB5"/>
    <w:rsid w:val="004B21F3"/>
    <w:rsid w:val="004B6E4E"/>
    <w:rsid w:val="004C1EB5"/>
    <w:rsid w:val="004D13CC"/>
    <w:rsid w:val="004D3BD9"/>
    <w:rsid w:val="004D5BAE"/>
    <w:rsid w:val="004D7120"/>
    <w:rsid w:val="004E2759"/>
    <w:rsid w:val="004E3360"/>
    <w:rsid w:val="004F2589"/>
    <w:rsid w:val="005220FC"/>
    <w:rsid w:val="0052752C"/>
    <w:rsid w:val="005333BB"/>
    <w:rsid w:val="00540E46"/>
    <w:rsid w:val="00542EA5"/>
    <w:rsid w:val="00546EC0"/>
    <w:rsid w:val="00555312"/>
    <w:rsid w:val="00555A00"/>
    <w:rsid w:val="005578E8"/>
    <w:rsid w:val="005707CA"/>
    <w:rsid w:val="00570B7D"/>
    <w:rsid w:val="00584587"/>
    <w:rsid w:val="005853FD"/>
    <w:rsid w:val="005860DD"/>
    <w:rsid w:val="00586A11"/>
    <w:rsid w:val="005A37D1"/>
    <w:rsid w:val="005A6F87"/>
    <w:rsid w:val="005B395F"/>
    <w:rsid w:val="005C5FC9"/>
    <w:rsid w:val="005C6AA1"/>
    <w:rsid w:val="005D2324"/>
    <w:rsid w:val="005D577F"/>
    <w:rsid w:val="005E14DA"/>
    <w:rsid w:val="005E3A15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2366F"/>
    <w:rsid w:val="0062458A"/>
    <w:rsid w:val="00636F62"/>
    <w:rsid w:val="006529E9"/>
    <w:rsid w:val="0065393E"/>
    <w:rsid w:val="00654C1A"/>
    <w:rsid w:val="00660E5C"/>
    <w:rsid w:val="006637B6"/>
    <w:rsid w:val="0066751B"/>
    <w:rsid w:val="00671300"/>
    <w:rsid w:val="00675382"/>
    <w:rsid w:val="006768A6"/>
    <w:rsid w:val="0068691F"/>
    <w:rsid w:val="006974F9"/>
    <w:rsid w:val="006A1C28"/>
    <w:rsid w:val="006A2586"/>
    <w:rsid w:val="006A270F"/>
    <w:rsid w:val="006C0AA1"/>
    <w:rsid w:val="006D1E04"/>
    <w:rsid w:val="006E73A4"/>
    <w:rsid w:val="006F06F0"/>
    <w:rsid w:val="006F475A"/>
    <w:rsid w:val="006F743F"/>
    <w:rsid w:val="006F7509"/>
    <w:rsid w:val="00702BAC"/>
    <w:rsid w:val="007039D9"/>
    <w:rsid w:val="0071097A"/>
    <w:rsid w:val="0074027D"/>
    <w:rsid w:val="0074739C"/>
    <w:rsid w:val="00747E59"/>
    <w:rsid w:val="0075364B"/>
    <w:rsid w:val="007637EC"/>
    <w:rsid w:val="0076429F"/>
    <w:rsid w:val="00773AC1"/>
    <w:rsid w:val="0077465F"/>
    <w:rsid w:val="00784FE7"/>
    <w:rsid w:val="007A3336"/>
    <w:rsid w:val="007D2A1D"/>
    <w:rsid w:val="007D4614"/>
    <w:rsid w:val="007E33A3"/>
    <w:rsid w:val="00800B00"/>
    <w:rsid w:val="00801B35"/>
    <w:rsid w:val="00803F80"/>
    <w:rsid w:val="00805A34"/>
    <w:rsid w:val="00810178"/>
    <w:rsid w:val="00820383"/>
    <w:rsid w:val="00825D6E"/>
    <w:rsid w:val="00832990"/>
    <w:rsid w:val="00840313"/>
    <w:rsid w:val="00841C19"/>
    <w:rsid w:val="00844E38"/>
    <w:rsid w:val="0085047E"/>
    <w:rsid w:val="0085070E"/>
    <w:rsid w:val="00854A4D"/>
    <w:rsid w:val="008630FF"/>
    <w:rsid w:val="00877A83"/>
    <w:rsid w:val="00880D37"/>
    <w:rsid w:val="0089032B"/>
    <w:rsid w:val="00891A63"/>
    <w:rsid w:val="0089409A"/>
    <w:rsid w:val="008962DF"/>
    <w:rsid w:val="0089743B"/>
    <w:rsid w:val="008A4FFF"/>
    <w:rsid w:val="008A53D3"/>
    <w:rsid w:val="008A59BB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8F7363"/>
    <w:rsid w:val="0090150B"/>
    <w:rsid w:val="0093290E"/>
    <w:rsid w:val="00934E4E"/>
    <w:rsid w:val="00951E1D"/>
    <w:rsid w:val="00961ABE"/>
    <w:rsid w:val="00965311"/>
    <w:rsid w:val="009661E2"/>
    <w:rsid w:val="0097135A"/>
    <w:rsid w:val="009826E8"/>
    <w:rsid w:val="00986F8A"/>
    <w:rsid w:val="00987506"/>
    <w:rsid w:val="00987CE9"/>
    <w:rsid w:val="00994540"/>
    <w:rsid w:val="00995773"/>
    <w:rsid w:val="009A3A11"/>
    <w:rsid w:val="009A4E8D"/>
    <w:rsid w:val="009A65B7"/>
    <w:rsid w:val="009B4AD7"/>
    <w:rsid w:val="009B70A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12EF"/>
    <w:rsid w:val="009F6AAA"/>
    <w:rsid w:val="009F7DF5"/>
    <w:rsid w:val="00A054C6"/>
    <w:rsid w:val="00A10F40"/>
    <w:rsid w:val="00A11B88"/>
    <w:rsid w:val="00A13F08"/>
    <w:rsid w:val="00A16E0D"/>
    <w:rsid w:val="00A27902"/>
    <w:rsid w:val="00A30CE6"/>
    <w:rsid w:val="00A364D8"/>
    <w:rsid w:val="00A40CAD"/>
    <w:rsid w:val="00A647E5"/>
    <w:rsid w:val="00A73790"/>
    <w:rsid w:val="00A73B7E"/>
    <w:rsid w:val="00A75A0C"/>
    <w:rsid w:val="00A84A23"/>
    <w:rsid w:val="00AA1E19"/>
    <w:rsid w:val="00AA3088"/>
    <w:rsid w:val="00AA4AD0"/>
    <w:rsid w:val="00AB6054"/>
    <w:rsid w:val="00AC7301"/>
    <w:rsid w:val="00AD2E5E"/>
    <w:rsid w:val="00AD3421"/>
    <w:rsid w:val="00AD363A"/>
    <w:rsid w:val="00AD3B79"/>
    <w:rsid w:val="00AF0B00"/>
    <w:rsid w:val="00B01C13"/>
    <w:rsid w:val="00B023E9"/>
    <w:rsid w:val="00B03715"/>
    <w:rsid w:val="00B05D9A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7487D"/>
    <w:rsid w:val="00C82292"/>
    <w:rsid w:val="00C839F6"/>
    <w:rsid w:val="00C90806"/>
    <w:rsid w:val="00CA3502"/>
    <w:rsid w:val="00CA4970"/>
    <w:rsid w:val="00CA5CAF"/>
    <w:rsid w:val="00CB1133"/>
    <w:rsid w:val="00CB230E"/>
    <w:rsid w:val="00CC50B5"/>
    <w:rsid w:val="00CD093C"/>
    <w:rsid w:val="00CD222C"/>
    <w:rsid w:val="00CD3A4C"/>
    <w:rsid w:val="00CE0017"/>
    <w:rsid w:val="00CE1A3F"/>
    <w:rsid w:val="00CE1CBD"/>
    <w:rsid w:val="00CE2D21"/>
    <w:rsid w:val="00CE468D"/>
    <w:rsid w:val="00D13A70"/>
    <w:rsid w:val="00D32712"/>
    <w:rsid w:val="00D43AA5"/>
    <w:rsid w:val="00D52E52"/>
    <w:rsid w:val="00D53045"/>
    <w:rsid w:val="00D61D25"/>
    <w:rsid w:val="00D61FED"/>
    <w:rsid w:val="00D6210A"/>
    <w:rsid w:val="00D66A0B"/>
    <w:rsid w:val="00D8159E"/>
    <w:rsid w:val="00D910B7"/>
    <w:rsid w:val="00D92DE8"/>
    <w:rsid w:val="00DB7463"/>
    <w:rsid w:val="00DD1ACA"/>
    <w:rsid w:val="00DE3458"/>
    <w:rsid w:val="00DF4268"/>
    <w:rsid w:val="00DF7D22"/>
    <w:rsid w:val="00E01F2A"/>
    <w:rsid w:val="00E142C3"/>
    <w:rsid w:val="00E157D2"/>
    <w:rsid w:val="00E21488"/>
    <w:rsid w:val="00E224F5"/>
    <w:rsid w:val="00E4634E"/>
    <w:rsid w:val="00E5125E"/>
    <w:rsid w:val="00E556F4"/>
    <w:rsid w:val="00E60609"/>
    <w:rsid w:val="00E97514"/>
    <w:rsid w:val="00EA4232"/>
    <w:rsid w:val="00EB0FBA"/>
    <w:rsid w:val="00EB42A7"/>
    <w:rsid w:val="00EB54FC"/>
    <w:rsid w:val="00EB6C83"/>
    <w:rsid w:val="00EC6B66"/>
    <w:rsid w:val="00ED11CA"/>
    <w:rsid w:val="00ED337D"/>
    <w:rsid w:val="00ED47ED"/>
    <w:rsid w:val="00ED53C8"/>
    <w:rsid w:val="00ED5C7B"/>
    <w:rsid w:val="00EE33EB"/>
    <w:rsid w:val="00EE3A31"/>
    <w:rsid w:val="00EF07B0"/>
    <w:rsid w:val="00F03F7F"/>
    <w:rsid w:val="00F13D78"/>
    <w:rsid w:val="00F23EE5"/>
    <w:rsid w:val="00F34FB4"/>
    <w:rsid w:val="00F42B37"/>
    <w:rsid w:val="00F43CA6"/>
    <w:rsid w:val="00F55A5B"/>
    <w:rsid w:val="00F5703B"/>
    <w:rsid w:val="00F616AF"/>
    <w:rsid w:val="00F642C0"/>
    <w:rsid w:val="00F644C2"/>
    <w:rsid w:val="00F6473B"/>
    <w:rsid w:val="00F72A0E"/>
    <w:rsid w:val="00F737B6"/>
    <w:rsid w:val="00F73AEB"/>
    <w:rsid w:val="00F81ECB"/>
    <w:rsid w:val="00F85829"/>
    <w:rsid w:val="00F93C73"/>
    <w:rsid w:val="00F93E70"/>
    <w:rsid w:val="00F968E2"/>
    <w:rsid w:val="00FA1604"/>
    <w:rsid w:val="00FB0DE8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BBF6-3DD6-418F-9B47-F46F758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Lojas Renner S/A.</vt:lpstr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Lojas Renner S/A.</dc:title>
  <dc:creator>Thereza Marina Cunha M. Cunha</dc:creator>
  <dc:description>Cosméticos, Perfumaria, Artigos de Higiene Pessoal e de Toucador Relacionados no Decreto n.º 43.922/12: Redução de Base de Cálculo do ICMS Somente na Operação Própria do Industrial, Importador ou Distribuidor/Atacadista</dc:description>
  <cp:lastModifiedBy>Thereza Marina Cunha M. Cunha</cp:lastModifiedBy>
  <cp:revision>3</cp:revision>
  <cp:lastPrinted>2015-10-01T20:49:00Z</cp:lastPrinted>
  <dcterms:created xsi:type="dcterms:W3CDTF">2017-10-04T21:11:00Z</dcterms:created>
  <dcterms:modified xsi:type="dcterms:W3CDTF">2017-10-04T21:17:00Z</dcterms:modified>
  <cp:category>E04-0791756-17</cp:category>
</cp:coreProperties>
</file>