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830668" w:rsidP="004D2993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FEEF. Dispensa. Incremento </w:t>
            </w:r>
            <w:r w:rsidR="004D2993">
              <w:rPr>
                <w:rFonts w:ascii="Times New Roman" w:hAnsi="Times New Roman"/>
                <w:szCs w:val="22"/>
              </w:rPr>
              <w:t>na Arrecadação.  Comparação. Trimestre do Ano Anterior</w:t>
            </w:r>
            <w:r w:rsidR="00F36822">
              <w:rPr>
                <w:rFonts w:ascii="Times New Roman" w:hAnsi="Times New Roman"/>
                <w:szCs w:val="22"/>
              </w:rPr>
              <w:t xml:space="preserve">. Período de Referência: </w:t>
            </w:r>
            <w:r w:rsidR="004D2993">
              <w:rPr>
                <w:rFonts w:ascii="Times New Roman" w:hAnsi="Times New Roman"/>
                <w:szCs w:val="22"/>
              </w:rPr>
              <w:t>Mês de</w:t>
            </w:r>
            <w:r w:rsidR="00F36822">
              <w:rPr>
                <w:rFonts w:ascii="Times New Roman" w:hAnsi="Times New Roman"/>
                <w:szCs w:val="22"/>
              </w:rPr>
              <w:t xml:space="preserve"> </w:t>
            </w:r>
            <w:r w:rsidR="009B2214">
              <w:rPr>
                <w:rFonts w:ascii="Times New Roman" w:hAnsi="Times New Roman"/>
                <w:szCs w:val="22"/>
              </w:rPr>
              <w:t>Competência.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ED1557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095/17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6E4776" w:rsidRDefault="00EF07B0" w:rsidP="006E4776">
      <w:pPr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F23EE5" w:rsidRPr="006E4776" w:rsidRDefault="006E4776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 w:rsidRPr="006E4776">
        <w:rPr>
          <w:rFonts w:ascii="Times New Roman" w:hAnsi="Times New Roman" w:cs="Times New Roman"/>
          <w:lang w:eastAsia="pt-BR"/>
        </w:rPr>
        <w:tab/>
        <w:t>A e</w:t>
      </w:r>
      <w:r>
        <w:rPr>
          <w:rFonts w:ascii="Times New Roman" w:hAnsi="Times New Roman" w:cs="Times New Roman"/>
          <w:lang w:eastAsia="pt-BR"/>
        </w:rPr>
        <w:t>mpresa prestadora de serviços de telecomunicações, após informar que parte dos serviços que presta é beneficiada por exonerações do ICMS, expõe na inicial o que segue.</w:t>
      </w:r>
    </w:p>
    <w:p w:rsidR="00EF07B0" w:rsidRDefault="006E4776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6E4776">
        <w:rPr>
          <w:rFonts w:ascii="Times New Roman" w:hAnsi="Times New Roman" w:cs="Times New Roman"/>
          <w:lang w:eastAsia="pt-BR"/>
        </w:rPr>
        <w:t>Por ser beneficiada</w:t>
      </w:r>
      <w:r>
        <w:rPr>
          <w:rFonts w:ascii="Times New Roman" w:hAnsi="Times New Roman" w:cs="Times New Roman"/>
          <w:lang w:eastAsia="pt-BR"/>
        </w:rPr>
        <w:t xml:space="preserve"> por exonerações do ICMS, se submete às disposições da Lei n.º 7.428/16, regulamentada pelo Decreto n.º 45.810/16 e Resolução SEFAZ n.º 33/17, de modo que deve efetuar o depósito no </w:t>
      </w:r>
      <w:r w:rsidR="00473C1C" w:rsidRPr="00473C1C">
        <w:rPr>
          <w:rFonts w:ascii="Times New Roman" w:hAnsi="Times New Roman" w:cs="Times New Roman"/>
          <w:lang w:eastAsia="pt-BR"/>
        </w:rPr>
        <w:t xml:space="preserve">Fundo Estadual de Equilíbrio Fiscal do Estado do Rio de Janeiro </w:t>
      </w:r>
      <w:r w:rsidR="00473C1C">
        <w:rPr>
          <w:rFonts w:ascii="Times New Roman" w:hAnsi="Times New Roman" w:cs="Times New Roman"/>
          <w:lang w:eastAsia="pt-BR"/>
        </w:rPr>
        <w:t>–</w:t>
      </w:r>
      <w:r w:rsidR="00473C1C" w:rsidRPr="00473C1C">
        <w:rPr>
          <w:rFonts w:ascii="Times New Roman" w:hAnsi="Times New Roman" w:cs="Times New Roman"/>
          <w:lang w:eastAsia="pt-BR"/>
        </w:rPr>
        <w:t xml:space="preserve"> FEEF</w:t>
      </w:r>
      <w:r w:rsidR="00473C1C">
        <w:rPr>
          <w:rFonts w:ascii="Times New Roman" w:hAnsi="Times New Roman" w:cs="Times New Roman"/>
          <w:lang w:eastAsia="pt-BR"/>
        </w:rPr>
        <w:t xml:space="preserve">, </w:t>
      </w:r>
      <w:r w:rsidR="00694E7F">
        <w:rPr>
          <w:rFonts w:ascii="Times New Roman" w:hAnsi="Times New Roman" w:cs="Times New Roman"/>
          <w:lang w:eastAsia="pt-BR"/>
        </w:rPr>
        <w:t>n</w:t>
      </w:r>
      <w:r w:rsidR="00473C1C" w:rsidRPr="00473C1C">
        <w:rPr>
          <w:rFonts w:ascii="Times New Roman" w:hAnsi="Times New Roman" w:cs="Times New Roman"/>
          <w:lang w:eastAsia="pt-BR"/>
        </w:rPr>
        <w:t>o montante equivalente ao percentual de 10% (dez por cento) aplicado sobre a diferença entre o valor do imposto calculado com e sem a utilização de benefício ou incentivo fiscal, financeiro-fiscal ou financeiro concedido a contribuinte do ICMS</w:t>
      </w:r>
      <w:r w:rsidR="00473C1C">
        <w:rPr>
          <w:rFonts w:ascii="Times New Roman" w:hAnsi="Times New Roman" w:cs="Times New Roman"/>
          <w:lang w:eastAsia="pt-BR"/>
        </w:rPr>
        <w:t>.</w:t>
      </w:r>
    </w:p>
    <w:p w:rsidR="00EB5EC2" w:rsidRDefault="00473C1C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BC56EF">
        <w:rPr>
          <w:rFonts w:ascii="Times New Roman" w:hAnsi="Times New Roman" w:cs="Times New Roman"/>
          <w:lang w:eastAsia="pt-BR"/>
        </w:rPr>
        <w:t xml:space="preserve">Ao avaliar se poderia ser dispensada do FEEF, consoante às disposições do artigo 3º da referida lei, a consulente encontrou dúvida com relação ao método de comparação a ser adotado, tendo em vista que a arrecadação do trimestre pode ser considerada tendo como base dois critérios: </w:t>
      </w:r>
    </w:p>
    <w:p w:rsidR="00EB5EC2" w:rsidRDefault="00EB5EC2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="00AB6053"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BC56EF">
        <w:rPr>
          <w:rFonts w:ascii="Times New Roman" w:hAnsi="Times New Roman" w:cs="Times New Roman"/>
          <w:lang w:eastAsia="pt-BR"/>
        </w:rPr>
        <w:t>Os valores do FEEF e ICMS apurado no trimestre anterior ao depósito no FEEF devem ser considerados com referênci</w:t>
      </w:r>
      <w:r>
        <w:rPr>
          <w:rFonts w:ascii="Times New Roman" w:hAnsi="Times New Roman" w:cs="Times New Roman"/>
          <w:lang w:eastAsia="pt-BR"/>
        </w:rPr>
        <w:t>a</w:t>
      </w:r>
      <w:r w:rsidR="00BC56EF">
        <w:rPr>
          <w:rFonts w:ascii="Times New Roman" w:hAnsi="Times New Roman" w:cs="Times New Roman"/>
          <w:lang w:eastAsia="pt-BR"/>
        </w:rPr>
        <w:t xml:space="preserve"> aos r</w:t>
      </w:r>
      <w:r>
        <w:rPr>
          <w:rFonts w:ascii="Times New Roman" w:hAnsi="Times New Roman" w:cs="Times New Roman"/>
          <w:lang w:eastAsia="pt-BR"/>
        </w:rPr>
        <w:t>ecolhimentos (regime de caixa), ou;</w:t>
      </w:r>
    </w:p>
    <w:p w:rsidR="00473C1C" w:rsidRDefault="00EB5EC2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="00AB6053"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Os valores do FEEF e ICMS apurado no trimestre anterior ao depósito no FEEF devem ser considerados com referência aos períodos de apuração (regime de competência).</w:t>
      </w:r>
    </w:p>
    <w:p w:rsidR="00EB5EC2" w:rsidRDefault="00EB5EC2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AB6053">
        <w:rPr>
          <w:rFonts w:ascii="Times New Roman" w:hAnsi="Times New Roman" w:cs="Times New Roman"/>
          <w:lang w:eastAsia="pt-BR"/>
        </w:rPr>
        <w:t>Caso se considere que o item “1” acima trás o parâmetro adequado, o comparativo deve ser feito a partir dos valores de ICMS devidos pela consulente e que tenham datas de vencimento compreendidas no trimestre considerado.</w:t>
      </w:r>
    </w:p>
    <w:p w:rsidR="00AB6053" w:rsidRDefault="00AB6053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B45D9E">
        <w:rPr>
          <w:rFonts w:ascii="Times New Roman" w:hAnsi="Times New Roman" w:cs="Times New Roman"/>
          <w:lang w:eastAsia="pt-BR"/>
        </w:rPr>
        <w:t xml:space="preserve">Assim, </w:t>
      </w:r>
      <w:proofErr w:type="gramStart"/>
      <w:r w:rsidR="00B45D9E">
        <w:rPr>
          <w:rFonts w:ascii="Times New Roman" w:hAnsi="Times New Roman" w:cs="Times New Roman"/>
          <w:lang w:eastAsia="pt-BR"/>
        </w:rPr>
        <w:t>à</w:t>
      </w:r>
      <w:proofErr w:type="gramEnd"/>
      <w:r w:rsidR="00B45D9E">
        <w:rPr>
          <w:rFonts w:ascii="Times New Roman" w:hAnsi="Times New Roman" w:cs="Times New Roman"/>
          <w:lang w:eastAsia="pt-BR"/>
        </w:rPr>
        <w:t xml:space="preserve"> título exemplificativo, no intuito de verificar se há necessidade de efetuar o depósito no FEEF em janeiro de 2017, os valores de referência para o trimestre de outubro a dezembro de 2016, bem como do exercício anterior, devem refletir o total de ICMS cujo vencimento, de acordo com a norma aplicável, ocorra naquele trimestre (regime de caixa).</w:t>
      </w:r>
    </w:p>
    <w:p w:rsidR="00B45D9E" w:rsidRDefault="00B45D9E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630518">
        <w:rPr>
          <w:rFonts w:ascii="Times New Roman" w:hAnsi="Times New Roman" w:cs="Times New Roman"/>
          <w:lang w:eastAsia="pt-BR"/>
        </w:rPr>
        <w:t>Desse modo, entende a consule</w:t>
      </w:r>
      <w:r w:rsidR="00511612">
        <w:rPr>
          <w:rFonts w:ascii="Times New Roman" w:hAnsi="Times New Roman" w:cs="Times New Roman"/>
          <w:lang w:eastAsia="pt-BR"/>
        </w:rPr>
        <w:t>nte que deve apurar a diferença entre os montantes de ICMS vencidos (caixa), de acordo a norma aplicável, nos meses de outubro, novembro e dezembro de 2016, e aqueles vencidos no mesmo trimestre de 2015.  Se a diferença for positiva (incremento) e superior ao montante do FEEF que seria depositado (caixa) no trimestre correspondente a outubro a dezembro de 2016, estaria a mesma dispensada do depósito no FEEF com vencimento no m</w:t>
      </w:r>
      <w:r w:rsidR="00572B4F">
        <w:rPr>
          <w:rFonts w:ascii="Times New Roman" w:hAnsi="Times New Roman" w:cs="Times New Roman"/>
          <w:lang w:eastAsia="pt-BR"/>
        </w:rPr>
        <w:t>ês de janeiro de 2017.  Caso contrário, deve ser efetuado o depósito do FEEF com vencimento no mês de janeiro.  A consulente entende que esse é o método correto de comparação, isso porque os termos da lei se referem à arrecadação do trimestre, que corresponde aos valores a pagar de ICMS no trimestre, ou seja, todo o ICMS que venceu nesse tempo.</w:t>
      </w:r>
      <w:r w:rsidR="00BA2321">
        <w:rPr>
          <w:rFonts w:ascii="Times New Roman" w:hAnsi="Times New Roman" w:cs="Times New Roman"/>
          <w:lang w:eastAsia="pt-BR"/>
        </w:rPr>
        <w:t xml:space="preserve">  Até por isso, a consulente entende que o artigo 6º, § 1º, do Decreto n.º 45.810/16, refere-se ao mês em curso, assim como o § 2º se refere ao valor pago pelo contribuinte.</w:t>
      </w:r>
    </w:p>
    <w:p w:rsidR="007F6278" w:rsidRDefault="005C1D34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Por outro lado, caso</w:t>
      </w:r>
      <w:r w:rsidR="00BB5D16">
        <w:rPr>
          <w:rFonts w:ascii="Times New Roman" w:hAnsi="Times New Roman" w:cs="Times New Roman"/>
          <w:lang w:eastAsia="pt-BR"/>
        </w:rPr>
        <w:t xml:space="preserve"> se considere que o parâmetro deve ser o descrito no item “2” acima (competência), o comparativo deve ser feito a partir do ICMS devido em razão da apuração do trimestre, considerando-se os três períodos de apuração anteriores ao mês de competência do FEEF, independentemente da data de vencimento do ICMS apurado nas referidas competências.</w:t>
      </w:r>
    </w:p>
    <w:p w:rsidR="005C1D34" w:rsidRDefault="007F6278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Desse modo, no exemplo acima, os valores de referência para o trimestre de outubro a dezembro de 2016, bem como do exercício anterior, devem refletir o total do ICMS devido pelos períodos de apuração compreendi</w:t>
      </w:r>
      <w:r w:rsidR="0051699B">
        <w:rPr>
          <w:rFonts w:ascii="Times New Roman" w:hAnsi="Times New Roman" w:cs="Times New Roman"/>
          <w:lang w:eastAsia="pt-BR"/>
        </w:rPr>
        <w:t xml:space="preserve">dos entre outubro e dezembro de 2016, e seus correspondentes de 2015, ainda que </w:t>
      </w:r>
      <w:proofErr w:type="gramStart"/>
      <w:r w:rsidR="0051699B">
        <w:rPr>
          <w:rFonts w:ascii="Times New Roman" w:hAnsi="Times New Roman" w:cs="Times New Roman"/>
          <w:lang w:eastAsia="pt-BR"/>
        </w:rPr>
        <w:t>a arrecadação e parte do ICMS, por questões naturais, ocorra</w:t>
      </w:r>
      <w:proofErr w:type="gramEnd"/>
      <w:r w:rsidR="0051699B">
        <w:rPr>
          <w:rFonts w:ascii="Times New Roman" w:hAnsi="Times New Roman" w:cs="Times New Roman"/>
          <w:lang w:eastAsia="pt-BR"/>
        </w:rPr>
        <w:t xml:space="preserve"> no mês subsequente ao último trimestre (regime de competência).</w:t>
      </w:r>
    </w:p>
    <w:p w:rsidR="0051699B" w:rsidRDefault="0051699B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09739B">
        <w:rPr>
          <w:rFonts w:ascii="Times New Roman" w:hAnsi="Times New Roman" w:cs="Times New Roman"/>
          <w:lang w:eastAsia="pt-BR"/>
        </w:rPr>
        <w:t xml:space="preserve">Desse modo, entende a consulente que, a fim de verificar se há valor a depositar em favor do FEEF em </w:t>
      </w:r>
      <w:proofErr w:type="gramStart"/>
      <w:r w:rsidR="0009739B">
        <w:rPr>
          <w:rFonts w:ascii="Times New Roman" w:hAnsi="Times New Roman" w:cs="Times New Roman"/>
          <w:lang w:eastAsia="pt-BR"/>
        </w:rPr>
        <w:t>janeiro ,</w:t>
      </w:r>
      <w:proofErr w:type="gramEnd"/>
      <w:r w:rsidR="0009739B">
        <w:rPr>
          <w:rFonts w:ascii="Times New Roman" w:hAnsi="Times New Roman" w:cs="Times New Roman"/>
          <w:lang w:eastAsia="pt-BR"/>
        </w:rPr>
        <w:t>de 2017, considerar-se-ia o mês de competência do FEEF (dezembro de 2016)</w:t>
      </w:r>
      <w:r w:rsidR="002E2F99">
        <w:rPr>
          <w:rFonts w:ascii="Times New Roman" w:hAnsi="Times New Roman" w:cs="Times New Roman"/>
          <w:lang w:eastAsia="pt-BR"/>
        </w:rPr>
        <w:t xml:space="preserve"> como parâmetro para determinação do trimestre anterior.  Em consequência, deveria apurar a diferença entre os montantes do ICMS devido em relação às prestações ocorridas nos meses de setembro a novembro (competência) e do ICMS devido em relaç</w:t>
      </w:r>
      <w:r w:rsidR="00BB5EEC">
        <w:rPr>
          <w:rFonts w:ascii="Times New Roman" w:hAnsi="Times New Roman" w:cs="Times New Roman"/>
          <w:lang w:eastAsia="pt-BR"/>
        </w:rPr>
        <w:t>ão ao mesmo trimestre de 2015 (competência).  Se a diferença for positiva (incremento) no trimestre correspondente a setembro a novembro de 2016, com vencimento no mês de janeiro de 2017.  Caso o valor não seja superior, deve ser efetuado o depósito no FEEF.</w:t>
      </w:r>
    </w:p>
    <w:p w:rsidR="00BB5EEC" w:rsidRDefault="00BB5EEC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Por fim, a consulente entende que o método adequado de comparação dos trimestres, para os fins de definição quanto à necessidade de depósito em favor do FEEF, está indicado no item “1” acima.</w:t>
      </w:r>
    </w:p>
    <w:p w:rsidR="00BB5EEC" w:rsidRPr="000D191F" w:rsidRDefault="00BB5EEC" w:rsidP="00473C1C">
      <w:pPr>
        <w:spacing w:line="360" w:lineRule="auto"/>
        <w:ind w:right="-852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 w:rsidRPr="000D191F">
        <w:rPr>
          <w:rFonts w:ascii="Times New Roman" w:hAnsi="Times New Roman" w:cs="Times New Roman"/>
          <w:b/>
          <w:smallCaps/>
          <w:lang w:eastAsia="pt-BR"/>
        </w:rPr>
        <w:t>Isto posto</w:t>
      </w:r>
      <w:proofErr w:type="gramEnd"/>
      <w:r w:rsidRPr="000D191F">
        <w:rPr>
          <w:rFonts w:ascii="Times New Roman" w:hAnsi="Times New Roman" w:cs="Times New Roman"/>
          <w:b/>
          <w:smallCaps/>
          <w:lang w:eastAsia="pt-BR"/>
        </w:rPr>
        <w:t>, Consulta:</w:t>
      </w:r>
    </w:p>
    <w:p w:rsidR="00BB5EEC" w:rsidRDefault="00BB5EEC" w:rsidP="00473C1C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proofErr w:type="gramStart"/>
      <w:r>
        <w:rPr>
          <w:rFonts w:ascii="Times New Roman" w:hAnsi="Times New Roman" w:cs="Times New Roman"/>
          <w:lang w:eastAsia="pt-BR"/>
        </w:rPr>
        <w:t>1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0D191F">
        <w:rPr>
          <w:rFonts w:ascii="Times New Roman" w:hAnsi="Times New Roman" w:cs="Times New Roman"/>
          <w:lang w:eastAsia="pt-BR"/>
        </w:rPr>
        <w:t xml:space="preserve">Está correto o entendimento da consulente de que, a fim de verificar se há valor a depositar do FEEF no mês corrente (referente ao mês anterior), a consulente deve apurar a diferença entre os montantes de ICMS vencidos (caixa), de acordo com a norma aplicável, nos três meses imediatamente anteriores e aqueles vencidos no mesmo trimestre do ano anterior; de modo que, se a diferença for positiva (incremento) e </w:t>
      </w:r>
      <w:r w:rsidR="00FC08C7">
        <w:rPr>
          <w:rFonts w:ascii="Times New Roman" w:hAnsi="Times New Roman" w:cs="Times New Roman"/>
          <w:lang w:eastAsia="pt-BR"/>
        </w:rPr>
        <w:t xml:space="preserve">superior ao montando do FEEF </w:t>
      </w:r>
      <w:r w:rsidR="000D191F">
        <w:rPr>
          <w:rFonts w:ascii="Times New Roman" w:hAnsi="Times New Roman" w:cs="Times New Roman"/>
          <w:lang w:eastAsia="pt-BR"/>
        </w:rPr>
        <w:t>que</w:t>
      </w:r>
      <w:r w:rsidR="00FC08C7">
        <w:rPr>
          <w:rFonts w:ascii="Times New Roman" w:hAnsi="Times New Roman" w:cs="Times New Roman"/>
          <w:lang w:eastAsia="pt-BR"/>
        </w:rPr>
        <w:t xml:space="preserve"> seria depositado (caixa) no trimestre correspondente aos meses imediatamente anteriores, a consulente estaria dispensada do depósito do FEEF com vencimento no mês, e, caso o valor não seja superior, deve ser efetuado o depósito do FEEF com vencimento no mês?</w:t>
      </w:r>
    </w:p>
    <w:p w:rsidR="00FC08C7" w:rsidRDefault="00FC08C7" w:rsidP="00D32DC7">
      <w:pPr>
        <w:spacing w:line="360" w:lineRule="auto"/>
        <w:ind w:right="-852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 xml:space="preserve">) </w:t>
      </w:r>
      <w:r w:rsidR="00363665">
        <w:rPr>
          <w:rFonts w:ascii="Times New Roman" w:hAnsi="Times New Roman" w:cs="Times New Roman"/>
          <w:lang w:eastAsia="pt-BR"/>
        </w:rPr>
        <w:t>Sendo necessária a efetivação de depósito em favor do FEEF em cada mês, seu cálculo para cada período de apuração, nos termos dos artigos 5º e 6º do Decreto n.º 45.810/16, deve ser efetuado considerando o ICMS cujo vencimento ocorra no mês de referência anterior?</w:t>
      </w:r>
    </w:p>
    <w:p w:rsidR="00EF07B0" w:rsidRPr="00EF07B0" w:rsidRDefault="00BB5EEC" w:rsidP="00D32DC7">
      <w:pPr>
        <w:spacing w:line="360" w:lineRule="auto"/>
        <w:ind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0</w:t>
      </w:r>
      <w:r w:rsidR="00424445">
        <w:rPr>
          <w:rFonts w:ascii="Times New Roman" w:hAnsi="Times New Roman" w:cs="Times New Roman"/>
        </w:rPr>
        <w:t>9</w:t>
      </w:r>
      <w:r w:rsidR="00EF07B0" w:rsidRPr="00EF07B0">
        <w:rPr>
          <w:rFonts w:ascii="Times New Roman" w:hAnsi="Times New Roman" w:cs="Times New Roman"/>
        </w:rPr>
        <w:t>/</w:t>
      </w:r>
      <w:r w:rsidR="00424445">
        <w:rPr>
          <w:rFonts w:ascii="Times New Roman" w:hAnsi="Times New Roman" w:cs="Times New Roman"/>
        </w:rPr>
        <w:t>1</w:t>
      </w:r>
      <w:r w:rsidR="0074739C">
        <w:rPr>
          <w:rFonts w:ascii="Times New Roman" w:hAnsi="Times New Roman" w:cs="Times New Roman"/>
        </w:rPr>
        <w:t>0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424445">
        <w:rPr>
          <w:rFonts w:ascii="Times New Roman" w:hAnsi="Times New Roman" w:cs="Times New Roman"/>
        </w:rPr>
        <w:t>11/18</w:t>
      </w:r>
      <w:r w:rsidR="00F242DB">
        <w:rPr>
          <w:rFonts w:ascii="Times New Roman" w:hAnsi="Times New Roman" w:cs="Times New Roman"/>
        </w:rPr>
        <w:t>).</w:t>
      </w:r>
    </w:p>
    <w:p w:rsidR="00EF07B0" w:rsidRDefault="00EF07B0" w:rsidP="00D32DC7">
      <w:pPr>
        <w:ind w:right="-852"/>
        <w:rPr>
          <w:rFonts w:ascii="Times New Roman" w:hAnsi="Times New Roman" w:cs="Times New Roman"/>
          <w:b/>
          <w:smallCaps/>
        </w:rPr>
      </w:pPr>
      <w:r w:rsidRPr="0074739C">
        <w:rPr>
          <w:rFonts w:ascii="Times New Roman" w:hAnsi="Times New Roman" w:cs="Times New Roman"/>
          <w:b/>
          <w:smallCaps/>
          <w:lang w:eastAsia="pt-BR"/>
        </w:rPr>
        <w:tab/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BD1FD9" w:rsidRDefault="00BD1FD9" w:rsidP="00D32DC7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D32DC7">
        <w:rPr>
          <w:rFonts w:ascii="Times New Roman" w:hAnsi="Times New Roman" w:cs="Times New Roman"/>
        </w:rPr>
        <w:t>O artigo 5.º</w:t>
      </w:r>
      <w:r w:rsidR="00D32DC7" w:rsidRPr="00D32DC7">
        <w:rPr>
          <w:rFonts w:ascii="Times New Roman" w:hAnsi="Times New Roman" w:cs="Times New Roman"/>
        </w:rPr>
        <w:t xml:space="preserve"> do Decreto n.º 45.810/16 dispõe que “</w:t>
      </w:r>
      <w:r w:rsidR="00D32DC7" w:rsidRPr="00D32DC7">
        <w:rPr>
          <w:rFonts w:ascii="Times New Roman" w:hAnsi="Times New Roman" w:cs="Times New Roman"/>
          <w:i/>
        </w:rPr>
        <w:t>o</w:t>
      </w:r>
      <w:r w:rsidRPr="00D32DC7">
        <w:rPr>
          <w:rFonts w:ascii="Times New Roman" w:hAnsi="Times New Roman" w:cs="Times New Roman"/>
          <w:i/>
        </w:rPr>
        <w:t xml:space="preserve"> valor do depósito referido no art. 2.º deverá ser apurado mensalmente, por estabelecimento, considerado o período de </w:t>
      </w:r>
      <w:r w:rsidRPr="003C3598">
        <w:rPr>
          <w:rFonts w:ascii="Times New Roman" w:hAnsi="Times New Roman" w:cs="Times New Roman"/>
          <w:b/>
          <w:i/>
        </w:rPr>
        <w:t>1.º de dezembro de 2016 a 31 de dezembro de 2018</w:t>
      </w:r>
      <w:r w:rsidRPr="00D32DC7">
        <w:rPr>
          <w:rFonts w:ascii="Times New Roman" w:hAnsi="Times New Roman" w:cs="Times New Roman"/>
          <w:i/>
        </w:rPr>
        <w:t xml:space="preserve">, devendo seu pagamento </w:t>
      </w:r>
      <w:proofErr w:type="gramStart"/>
      <w:r w:rsidRPr="00D32DC7">
        <w:rPr>
          <w:rFonts w:ascii="Times New Roman" w:hAnsi="Times New Roman" w:cs="Times New Roman"/>
          <w:i/>
        </w:rPr>
        <w:t>ser</w:t>
      </w:r>
      <w:proofErr w:type="gramEnd"/>
      <w:r w:rsidRPr="00D32DC7">
        <w:rPr>
          <w:rFonts w:ascii="Times New Roman" w:hAnsi="Times New Roman" w:cs="Times New Roman"/>
          <w:i/>
        </w:rPr>
        <w:t xml:space="preserve"> realizado até o </w:t>
      </w:r>
      <w:r w:rsidRPr="003C3598">
        <w:rPr>
          <w:rFonts w:ascii="Times New Roman" w:hAnsi="Times New Roman" w:cs="Times New Roman"/>
          <w:b/>
          <w:i/>
        </w:rPr>
        <w:t>dia 20 do mês subsequente</w:t>
      </w:r>
      <w:r w:rsidRPr="00D32DC7">
        <w:rPr>
          <w:rFonts w:ascii="Times New Roman" w:hAnsi="Times New Roman" w:cs="Times New Roman"/>
          <w:i/>
        </w:rPr>
        <w:t xml:space="preserve"> ao da apuração</w:t>
      </w:r>
      <w:r w:rsidR="00D32DC7">
        <w:rPr>
          <w:rFonts w:ascii="Times New Roman" w:hAnsi="Times New Roman" w:cs="Times New Roman"/>
          <w:i/>
        </w:rPr>
        <w:t>”</w:t>
      </w:r>
      <w:r w:rsidRPr="00D32DC7">
        <w:rPr>
          <w:rFonts w:ascii="Times New Roman" w:hAnsi="Times New Roman" w:cs="Times New Roman"/>
        </w:rPr>
        <w:t>.</w:t>
      </w:r>
    </w:p>
    <w:p w:rsidR="005F1650" w:rsidRPr="005F1650" w:rsidRDefault="005F1650" w:rsidP="00A66FF3">
      <w:pPr>
        <w:spacing w:after="0" w:line="360" w:lineRule="auto"/>
        <w:ind w:right="-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5F1650">
        <w:rPr>
          <w:rFonts w:ascii="Times New Roman" w:hAnsi="Times New Roman" w:cs="Times New Roman"/>
          <w:i/>
        </w:rPr>
        <w:t>Art.</w:t>
      </w:r>
      <w:proofErr w:type="gramEnd"/>
      <w:r w:rsidRPr="005F1650">
        <w:rPr>
          <w:rFonts w:ascii="Times New Roman" w:hAnsi="Times New Roman" w:cs="Times New Roman"/>
          <w:i/>
        </w:rPr>
        <w:t xml:space="preserve"> 6.º Alternativamente ao que trata o disposto no art. 2.º, os contribuintes poderão usufruir do benefício já concedido, na sua integridade, desde que a arrecadação de ICMS do estabelecimento, no trimestre imediatamente anterior ao mês em que deveria ser feito o depósito no FEEF, comparado com o mesmo trimestre do ano anterior, seja incrementada, em termos nominais, em patamar superior ao montante que seria depositado no FEEF no trimestre imediatamente anterior.</w:t>
      </w:r>
    </w:p>
    <w:p w:rsidR="005F1650" w:rsidRPr="005F1650" w:rsidRDefault="005F1650" w:rsidP="00A66FF3">
      <w:pPr>
        <w:spacing w:after="0"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5F1650">
        <w:rPr>
          <w:rFonts w:ascii="Times New Roman" w:hAnsi="Times New Roman" w:cs="Times New Roman"/>
          <w:i/>
        </w:rPr>
        <w:tab/>
      </w:r>
      <w:proofErr w:type="gramStart"/>
      <w:r w:rsidRPr="005F1650">
        <w:rPr>
          <w:rFonts w:ascii="Times New Roman" w:hAnsi="Times New Roman" w:cs="Times New Roman"/>
          <w:i/>
        </w:rPr>
        <w:t>.........................................</w:t>
      </w:r>
      <w:proofErr w:type="gramEnd"/>
      <w:r w:rsidRPr="005F1650">
        <w:rPr>
          <w:rFonts w:ascii="Times New Roman" w:hAnsi="Times New Roman" w:cs="Times New Roman"/>
          <w:i/>
        </w:rPr>
        <w:t>;</w:t>
      </w:r>
    </w:p>
    <w:p w:rsidR="005F1650" w:rsidRDefault="005F1650" w:rsidP="00A66FF3">
      <w:pPr>
        <w:spacing w:after="0" w:line="360" w:lineRule="auto"/>
        <w:ind w:right="-851"/>
        <w:jc w:val="both"/>
        <w:rPr>
          <w:rFonts w:ascii="Times New Roman" w:hAnsi="Times New Roman" w:cs="Times New Roman"/>
        </w:rPr>
      </w:pPr>
      <w:r w:rsidRPr="005F1650">
        <w:rPr>
          <w:rFonts w:ascii="Times New Roman" w:hAnsi="Times New Roman" w:cs="Times New Roman"/>
          <w:i/>
        </w:rPr>
        <w:tab/>
        <w:t xml:space="preserve">§ 4.º Para os efeitos da comparação prevista no caput deste artigo, quanto aos depósitos a </w:t>
      </w:r>
      <w:proofErr w:type="gramStart"/>
      <w:r w:rsidRPr="005F1650">
        <w:rPr>
          <w:rFonts w:ascii="Times New Roman" w:hAnsi="Times New Roman" w:cs="Times New Roman"/>
          <w:i/>
        </w:rPr>
        <w:t>serem</w:t>
      </w:r>
      <w:proofErr w:type="gramEnd"/>
      <w:r w:rsidRPr="005F1650">
        <w:rPr>
          <w:rFonts w:ascii="Times New Roman" w:hAnsi="Times New Roman" w:cs="Times New Roman"/>
          <w:i/>
        </w:rPr>
        <w:t xml:space="preserve"> efetuados nos meses </w:t>
      </w:r>
      <w:r w:rsidRPr="00EE3DE5">
        <w:rPr>
          <w:rFonts w:ascii="Times New Roman" w:hAnsi="Times New Roman" w:cs="Times New Roman"/>
          <w:b/>
          <w:i/>
        </w:rPr>
        <w:t>de janeiro e fevereiro de 2017</w:t>
      </w:r>
      <w:r w:rsidRPr="005F1650">
        <w:rPr>
          <w:rFonts w:ascii="Times New Roman" w:hAnsi="Times New Roman" w:cs="Times New Roman"/>
          <w:i/>
        </w:rPr>
        <w:t xml:space="preserve">, o valor do depósito no FEEF relativo aos meses de outubro e novembro de 2016 poderá ser substituído pelo valor relativo ao mês de </w:t>
      </w:r>
      <w:r w:rsidRPr="00EE3DE5">
        <w:rPr>
          <w:rFonts w:ascii="Times New Roman" w:hAnsi="Times New Roman" w:cs="Times New Roman"/>
          <w:b/>
          <w:i/>
        </w:rPr>
        <w:t>dezembro de 2016</w:t>
      </w:r>
      <w:r w:rsidRPr="005F1650">
        <w:rPr>
          <w:rFonts w:ascii="Times New Roman" w:hAnsi="Times New Roman" w:cs="Times New Roman"/>
          <w:i/>
        </w:rPr>
        <w:t>, para a apuração do total a ser depositado nos trimestres imediatamente anteriores</w:t>
      </w:r>
      <w:r>
        <w:rPr>
          <w:rFonts w:ascii="Times New Roman" w:hAnsi="Times New Roman" w:cs="Times New Roman"/>
        </w:rPr>
        <w:t>”</w:t>
      </w:r>
      <w:r w:rsidRPr="005F1650">
        <w:rPr>
          <w:rFonts w:ascii="Times New Roman" w:hAnsi="Times New Roman" w:cs="Times New Roman"/>
        </w:rPr>
        <w:t>.</w:t>
      </w:r>
    </w:p>
    <w:p w:rsidR="00A66FF3" w:rsidRDefault="00282D08" w:rsidP="00282D08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82D08" w:rsidRDefault="00282D08" w:rsidP="00282D08">
      <w:pPr>
        <w:spacing w:line="360" w:lineRule="auto"/>
        <w:ind w:right="-851"/>
        <w:jc w:val="both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EF07B0">
        <w:rPr>
          <w:rFonts w:ascii="Times New Roman" w:hAnsi="Times New Roman" w:cs="Times New Roman"/>
          <w:b/>
          <w:smallCaps/>
        </w:rPr>
        <w:lastRenderedPageBreak/>
        <w:t>III – Resposta:</w:t>
      </w:r>
    </w:p>
    <w:p w:rsidR="007D7E58" w:rsidRDefault="00210B59" w:rsidP="00EC304F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82D08">
        <w:rPr>
          <w:rFonts w:ascii="Times New Roman" w:hAnsi="Times New Roman" w:cs="Times New Roman"/>
        </w:rPr>
        <w:t>1</w:t>
      </w:r>
      <w:proofErr w:type="gramEnd"/>
      <w:r w:rsidR="00282D08">
        <w:rPr>
          <w:rFonts w:ascii="Times New Roman" w:hAnsi="Times New Roman" w:cs="Times New Roman"/>
        </w:rPr>
        <w:t>)</w:t>
      </w:r>
      <w:r w:rsidR="007D7E58">
        <w:rPr>
          <w:rFonts w:ascii="Times New Roman" w:hAnsi="Times New Roman" w:cs="Times New Roman"/>
        </w:rPr>
        <w:t xml:space="preserve"> </w:t>
      </w:r>
      <w:r w:rsidR="00C14230">
        <w:rPr>
          <w:rFonts w:ascii="Times New Roman" w:hAnsi="Times New Roman" w:cs="Times New Roman"/>
        </w:rPr>
        <w:t xml:space="preserve">Primeiramente, respondendo objetivamente o questionamento, </w:t>
      </w:r>
      <w:r w:rsidR="004C6914">
        <w:rPr>
          <w:rFonts w:ascii="Times New Roman" w:hAnsi="Times New Roman" w:cs="Times New Roman"/>
        </w:rPr>
        <w:t>ao citar um determinado</w:t>
      </w:r>
      <w:r w:rsidR="00D670F3">
        <w:rPr>
          <w:rFonts w:ascii="Times New Roman" w:hAnsi="Times New Roman" w:cs="Times New Roman"/>
        </w:rPr>
        <w:t xml:space="preserve"> mês como </w:t>
      </w:r>
      <w:r w:rsidR="004C6914">
        <w:rPr>
          <w:rFonts w:ascii="Times New Roman" w:hAnsi="Times New Roman" w:cs="Times New Roman"/>
        </w:rPr>
        <w:t>período</w:t>
      </w:r>
      <w:r w:rsidR="00D670F3">
        <w:rPr>
          <w:rFonts w:ascii="Times New Roman" w:hAnsi="Times New Roman" w:cs="Times New Roman"/>
        </w:rPr>
        <w:t xml:space="preserve"> de referência</w:t>
      </w:r>
      <w:r w:rsidR="004C6914">
        <w:rPr>
          <w:rFonts w:ascii="Times New Roman" w:hAnsi="Times New Roman" w:cs="Times New Roman"/>
        </w:rPr>
        <w:t xml:space="preserve">, a legislação </w:t>
      </w:r>
      <w:r w:rsidR="007D7E58">
        <w:rPr>
          <w:rFonts w:ascii="Times New Roman" w:hAnsi="Times New Roman" w:cs="Times New Roman"/>
        </w:rPr>
        <w:t xml:space="preserve">relativa ao FEEF </w:t>
      </w:r>
      <w:r w:rsidR="004C6914">
        <w:rPr>
          <w:rFonts w:ascii="Times New Roman" w:hAnsi="Times New Roman" w:cs="Times New Roman"/>
        </w:rPr>
        <w:t xml:space="preserve">está indicando o </w:t>
      </w:r>
      <w:r w:rsidR="00C14230">
        <w:rPr>
          <w:rFonts w:ascii="Times New Roman" w:hAnsi="Times New Roman" w:cs="Times New Roman"/>
        </w:rPr>
        <w:t xml:space="preserve">mês </w:t>
      </w:r>
      <w:r w:rsidR="00D670F3">
        <w:rPr>
          <w:rFonts w:ascii="Times New Roman" w:hAnsi="Times New Roman" w:cs="Times New Roman"/>
        </w:rPr>
        <w:t>no qual ocorreram as prestações e operações</w:t>
      </w:r>
      <w:r w:rsidR="009B2214">
        <w:rPr>
          <w:rFonts w:ascii="Times New Roman" w:hAnsi="Times New Roman" w:cs="Times New Roman"/>
        </w:rPr>
        <w:t>, isto é, mês de competência</w:t>
      </w:r>
      <w:r w:rsidR="001541A5">
        <w:rPr>
          <w:rFonts w:ascii="Times New Roman" w:hAnsi="Times New Roman" w:cs="Times New Roman"/>
        </w:rPr>
        <w:t xml:space="preserve">, </w:t>
      </w:r>
      <w:r w:rsidR="00D670F3" w:rsidRPr="00A5722D">
        <w:rPr>
          <w:rFonts w:ascii="Times New Roman" w:hAnsi="Times New Roman" w:cs="Times New Roman"/>
          <w:b/>
        </w:rPr>
        <w:t xml:space="preserve">e não o mês em </w:t>
      </w:r>
      <w:r w:rsidR="00A5722D">
        <w:rPr>
          <w:rFonts w:ascii="Times New Roman" w:hAnsi="Times New Roman" w:cs="Times New Roman"/>
          <w:b/>
        </w:rPr>
        <w:t xml:space="preserve">se </w:t>
      </w:r>
      <w:r w:rsidR="00D670F3" w:rsidRPr="00A5722D">
        <w:rPr>
          <w:rFonts w:ascii="Times New Roman" w:hAnsi="Times New Roman" w:cs="Times New Roman"/>
          <w:b/>
        </w:rPr>
        <w:t>dev</w:t>
      </w:r>
      <w:r w:rsidR="001541A5">
        <w:rPr>
          <w:rFonts w:ascii="Times New Roman" w:hAnsi="Times New Roman" w:cs="Times New Roman"/>
          <w:b/>
        </w:rPr>
        <w:t>a</w:t>
      </w:r>
      <w:r w:rsidR="00D670F3" w:rsidRPr="00A5722D">
        <w:rPr>
          <w:rFonts w:ascii="Times New Roman" w:hAnsi="Times New Roman" w:cs="Times New Roman"/>
          <w:b/>
        </w:rPr>
        <w:t xml:space="preserve"> se efetivar o pagamento</w:t>
      </w:r>
      <w:r w:rsidR="00D670F3">
        <w:rPr>
          <w:rFonts w:ascii="Times New Roman" w:hAnsi="Times New Roman" w:cs="Times New Roman"/>
        </w:rPr>
        <w:t xml:space="preserve"> do ICMS relativo àquelas prestações e operações, </w:t>
      </w:r>
      <w:r w:rsidR="007D7E58">
        <w:rPr>
          <w:rFonts w:ascii="Times New Roman" w:hAnsi="Times New Roman" w:cs="Times New Roman"/>
        </w:rPr>
        <w:t xml:space="preserve">conforme o </w:t>
      </w:r>
      <w:r w:rsidR="00D670F3">
        <w:rPr>
          <w:rFonts w:ascii="Times New Roman" w:hAnsi="Times New Roman" w:cs="Times New Roman"/>
        </w:rPr>
        <w:t>Calend</w:t>
      </w:r>
      <w:r w:rsidR="00A577EE">
        <w:rPr>
          <w:rFonts w:ascii="Times New Roman" w:hAnsi="Times New Roman" w:cs="Times New Roman"/>
        </w:rPr>
        <w:t>ário Fiscal</w:t>
      </w:r>
      <w:r w:rsidR="00A5722D">
        <w:rPr>
          <w:rFonts w:ascii="Times New Roman" w:hAnsi="Times New Roman" w:cs="Times New Roman"/>
        </w:rPr>
        <w:t>.</w:t>
      </w:r>
      <w:r w:rsidR="00EC304F">
        <w:rPr>
          <w:rFonts w:ascii="Times New Roman" w:hAnsi="Times New Roman" w:cs="Times New Roman"/>
        </w:rPr>
        <w:t xml:space="preserve"> </w:t>
      </w:r>
      <w:r w:rsidR="00561BA4">
        <w:rPr>
          <w:rFonts w:ascii="Times New Roman" w:hAnsi="Times New Roman" w:cs="Times New Roman"/>
        </w:rPr>
        <w:t xml:space="preserve"> </w:t>
      </w:r>
      <w:r w:rsidR="00453FBB">
        <w:rPr>
          <w:rFonts w:ascii="Times New Roman" w:hAnsi="Times New Roman" w:cs="Times New Roman"/>
        </w:rPr>
        <w:tab/>
      </w:r>
      <w:r w:rsidR="00561BA4">
        <w:rPr>
          <w:rFonts w:ascii="Times New Roman" w:hAnsi="Times New Roman" w:cs="Times New Roman"/>
        </w:rPr>
        <w:t>Assim,</w:t>
      </w:r>
      <w:r w:rsidR="00453FBB">
        <w:rPr>
          <w:rFonts w:ascii="Times New Roman" w:hAnsi="Times New Roman" w:cs="Times New Roman"/>
        </w:rPr>
        <w:t xml:space="preserve"> </w:t>
      </w:r>
      <w:r w:rsidR="00561BA4">
        <w:rPr>
          <w:rFonts w:ascii="Times New Roman" w:hAnsi="Times New Roman" w:cs="Times New Roman"/>
        </w:rPr>
        <w:t>o mês de apuração não se confunde com o mês de vencimento do imposto a ser pago.</w:t>
      </w:r>
    </w:p>
    <w:p w:rsidR="001541D5" w:rsidRDefault="00453FBB" w:rsidP="00EC304F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7E10">
        <w:rPr>
          <w:rFonts w:ascii="Times New Roman" w:hAnsi="Times New Roman" w:cs="Times New Roman"/>
        </w:rPr>
        <w:t xml:space="preserve">Essa regra subsiste mesmo </w:t>
      </w:r>
      <w:r>
        <w:rPr>
          <w:rFonts w:ascii="Times New Roman" w:hAnsi="Times New Roman" w:cs="Times New Roman"/>
        </w:rPr>
        <w:t>considerando que a empresa consulente está relacionada no artigo 1º da Resoluç</w:t>
      </w:r>
      <w:r w:rsidR="001541D5">
        <w:rPr>
          <w:rFonts w:ascii="Times New Roman" w:hAnsi="Times New Roman" w:cs="Times New Roman"/>
        </w:rPr>
        <w:t xml:space="preserve">ão SEFAZ n.º 958/16, </w:t>
      </w:r>
      <w:r w:rsidR="00091575">
        <w:rPr>
          <w:rFonts w:ascii="Times New Roman" w:hAnsi="Times New Roman" w:cs="Times New Roman"/>
        </w:rPr>
        <w:t xml:space="preserve">que estabelece </w:t>
      </w:r>
      <w:r w:rsidR="001541D5">
        <w:rPr>
          <w:rFonts w:ascii="Times New Roman" w:hAnsi="Times New Roman" w:cs="Times New Roman"/>
        </w:rPr>
        <w:t>normas de pagamento do ICMS são diferenciadas, nos termos do</w:t>
      </w:r>
      <w:r w:rsidR="00D87E10">
        <w:rPr>
          <w:rFonts w:ascii="Times New Roman" w:hAnsi="Times New Roman" w:cs="Times New Roman"/>
        </w:rPr>
        <w:t>s</w:t>
      </w:r>
      <w:r w:rsidR="001541D5">
        <w:rPr>
          <w:rFonts w:ascii="Times New Roman" w:hAnsi="Times New Roman" w:cs="Times New Roman"/>
        </w:rPr>
        <w:t xml:space="preserve"> seu</w:t>
      </w:r>
      <w:r w:rsidR="00D87E10">
        <w:rPr>
          <w:rFonts w:ascii="Times New Roman" w:hAnsi="Times New Roman" w:cs="Times New Roman"/>
        </w:rPr>
        <w:t>s</w:t>
      </w:r>
      <w:r w:rsidR="001541D5">
        <w:rPr>
          <w:rFonts w:ascii="Times New Roman" w:hAnsi="Times New Roman" w:cs="Times New Roman"/>
        </w:rPr>
        <w:t xml:space="preserve"> artigo</w:t>
      </w:r>
      <w:r w:rsidR="00D87E10">
        <w:rPr>
          <w:rFonts w:ascii="Times New Roman" w:hAnsi="Times New Roman" w:cs="Times New Roman"/>
        </w:rPr>
        <w:t>s</w:t>
      </w:r>
      <w:r w:rsidR="001541D5">
        <w:rPr>
          <w:rFonts w:ascii="Times New Roman" w:hAnsi="Times New Roman" w:cs="Times New Roman"/>
        </w:rPr>
        <w:t xml:space="preserve"> 3º</w:t>
      </w:r>
      <w:r w:rsidR="00D87E10">
        <w:rPr>
          <w:rFonts w:ascii="Times New Roman" w:hAnsi="Times New Roman" w:cs="Times New Roman"/>
        </w:rPr>
        <w:t xml:space="preserve"> e 4º</w:t>
      </w:r>
      <w:r w:rsidR="001541D5">
        <w:rPr>
          <w:rFonts w:ascii="Times New Roman" w:hAnsi="Times New Roman" w:cs="Times New Roman"/>
        </w:rPr>
        <w:t>, que assim dispõe</w:t>
      </w:r>
      <w:r w:rsidR="00D87E10">
        <w:rPr>
          <w:rFonts w:ascii="Times New Roman" w:hAnsi="Times New Roman" w:cs="Times New Roman"/>
        </w:rPr>
        <w:t>m</w:t>
      </w:r>
      <w:r w:rsidR="001541D5">
        <w:rPr>
          <w:rFonts w:ascii="Times New Roman" w:hAnsi="Times New Roman" w:cs="Times New Roman"/>
        </w:rPr>
        <w:t>:</w:t>
      </w:r>
    </w:p>
    <w:p w:rsidR="001541D5" w:rsidRPr="001541D5" w:rsidRDefault="001541D5" w:rsidP="001541D5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“</w:t>
      </w:r>
      <w:r w:rsidRPr="001541D5">
        <w:rPr>
          <w:rFonts w:ascii="Times New Roman" w:hAnsi="Times New Roman" w:cs="Times New Roman"/>
          <w:i/>
        </w:rPr>
        <w:t>Art. 3º - Os contribuintes de que trata o artigo 2º devem efetuar o pagamento do ICMS devido a partir de 1º de janeiro de 2016 de acordo com os seguintes critérios:</w:t>
      </w:r>
    </w:p>
    <w:p w:rsidR="001541D5" w:rsidRPr="001541D5" w:rsidRDefault="001541D5" w:rsidP="001541D5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proofErr w:type="gramEnd"/>
      <w:r w:rsidRPr="001541D5">
        <w:rPr>
          <w:rFonts w:ascii="Times New Roman" w:hAnsi="Times New Roman" w:cs="Times New Roman"/>
          <w:i/>
        </w:rPr>
        <w:tab/>
        <w:t>I - o imposto relativo às operações realizadas a cada mês será pago nos dias 10 (dez), 20 (vinte) e no último dia útil do próprio mês em curso, sendo cada um desses pagamentos de valor igual a 1/3 (um terço) do montante do imposto apurado no mês anterior, deduzido do percentual relativo ao FECP apurado nesse mesmo mês;</w:t>
      </w:r>
    </w:p>
    <w:p w:rsidR="00453FBB" w:rsidRDefault="001541D5" w:rsidP="001541D5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1541D5">
        <w:rPr>
          <w:rFonts w:ascii="Times New Roman" w:hAnsi="Times New Roman" w:cs="Times New Roman"/>
          <w:i/>
        </w:rPr>
        <w:tab/>
        <w:t xml:space="preserve">II - no dia 15 (quinze) de cada mês será efetuado o pagamento da diferença entre o valor do imposto apurado relativo às operações realizadas no mês de referência, o percentual relativo ao FECP desse mesmo mês de referência e o montante representado pela soma dos valores das parcelas que, relativas ao período apurado, foram pagos nos termos do inciso I do caput deste artigo, se </w:t>
      </w:r>
      <w:proofErr w:type="spellStart"/>
      <w:proofErr w:type="gramStart"/>
      <w:r w:rsidRPr="001541D5">
        <w:rPr>
          <w:rFonts w:ascii="Times New Roman" w:hAnsi="Times New Roman" w:cs="Times New Roman"/>
          <w:i/>
        </w:rPr>
        <w:t>houver.</w:t>
      </w:r>
      <w:proofErr w:type="gramEnd"/>
      <w:r w:rsidR="00453FBB" w:rsidRPr="001541D5">
        <w:rPr>
          <w:rFonts w:ascii="Times New Roman" w:hAnsi="Times New Roman" w:cs="Times New Roman"/>
          <w:i/>
        </w:rPr>
        <w:t>o</w:t>
      </w:r>
      <w:proofErr w:type="spellEnd"/>
      <w:r w:rsidR="00453FBB" w:rsidRPr="001541D5">
        <w:rPr>
          <w:rFonts w:ascii="Times New Roman" w:hAnsi="Times New Roman" w:cs="Times New Roman"/>
          <w:i/>
        </w:rPr>
        <w:t xml:space="preserve"> imposto relativo às operações realizadas a cada mês será pago nos dias 10 (dez), 20 (vinte) e no último dia útil do próprio mês em curso, sendo cada um desses pagamentos de valor igual a 1/3 (um terço) do montante do imposto apurado no mês anterior</w:t>
      </w:r>
      <w:r>
        <w:rPr>
          <w:rFonts w:ascii="Times New Roman" w:hAnsi="Times New Roman" w:cs="Times New Roman"/>
        </w:rPr>
        <w:t>.</w:t>
      </w:r>
    </w:p>
    <w:p w:rsidR="00D87E10" w:rsidRPr="00D87E10" w:rsidRDefault="00D87E10" w:rsidP="00D87E10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D87E10">
        <w:rPr>
          <w:rFonts w:ascii="Times New Roman" w:hAnsi="Times New Roman" w:cs="Times New Roman"/>
          <w:i/>
        </w:rPr>
        <w:t xml:space="preserve">Art. 4º - Os contribuintes a que se refere o artigo 3º devem efetuar o pagamento do adicional de ICMS relativo ao Fundo de Combate à Pobreza e às Desigualdades </w:t>
      </w:r>
      <w:proofErr w:type="gramStart"/>
      <w:r w:rsidRPr="00D87E10">
        <w:rPr>
          <w:rFonts w:ascii="Times New Roman" w:hAnsi="Times New Roman" w:cs="Times New Roman"/>
          <w:i/>
        </w:rPr>
        <w:t>Sociais (FECP) instituído</w:t>
      </w:r>
      <w:proofErr w:type="gramEnd"/>
      <w:r w:rsidRPr="00D87E10">
        <w:rPr>
          <w:rFonts w:ascii="Times New Roman" w:hAnsi="Times New Roman" w:cs="Times New Roman"/>
          <w:i/>
        </w:rPr>
        <w:t xml:space="preserve"> pela Lei nº 4056/02, de 30 de dezembro de 2002, de acordo com os seguintes critérios, tomando-se como referência o FECP apurado no mês anterior, nos termos da Resolução SEF nº 6556/03, de 14 de janeiro de 2003:</w:t>
      </w:r>
    </w:p>
    <w:p w:rsidR="00D87E10" w:rsidRPr="00D87E10" w:rsidRDefault="00D87E10" w:rsidP="00D87E10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D87E10">
        <w:rPr>
          <w:rFonts w:ascii="Times New Roman" w:hAnsi="Times New Roman" w:cs="Times New Roman"/>
          <w:i/>
        </w:rPr>
        <w:lastRenderedPageBreak/>
        <w:tab/>
        <w:t>I - o FECP relativo às operações realizadas a cada mês será pago nos dias 10 (dez), 20 (vinte) e no último dia útil do próprio mês em curso, sendo cada um desses pagamentos de valor igual a 1/3 (um terço) do FECP apurado no mês anterior;</w:t>
      </w:r>
    </w:p>
    <w:p w:rsidR="00D87E10" w:rsidRPr="00D87E10" w:rsidRDefault="00D87E10" w:rsidP="00D87E10">
      <w:pPr>
        <w:spacing w:line="360" w:lineRule="auto"/>
        <w:ind w:right="-851"/>
        <w:jc w:val="both"/>
        <w:rPr>
          <w:rFonts w:ascii="Times New Roman" w:hAnsi="Times New Roman" w:cs="Times New Roman"/>
          <w:i/>
        </w:rPr>
      </w:pPr>
      <w:r w:rsidRPr="00D87E10">
        <w:rPr>
          <w:rFonts w:ascii="Times New Roman" w:hAnsi="Times New Roman" w:cs="Times New Roman"/>
          <w:i/>
        </w:rPr>
        <w:tab/>
        <w:t>II - no dia 15 (quinze) de cada mês será efetuado o pagamento da diferença entre o valor do FECP no mês de referência e o montante representado pela soma dos valores das parcelas que, relativas ao período apurado, foram pagos nos termos do inciso I, se houver.</w:t>
      </w:r>
    </w:p>
    <w:p w:rsidR="00D87E10" w:rsidRDefault="00D87E10" w:rsidP="00D87E10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 w:rsidRPr="00D87E10">
        <w:rPr>
          <w:rFonts w:ascii="Times New Roman" w:hAnsi="Times New Roman" w:cs="Times New Roman"/>
          <w:i/>
        </w:rPr>
        <w:tab/>
        <w:t xml:space="preserve">Parágrafo único - Aplicam-se às parcelas correspondentes ao pagamento do FECP as disposições dos </w:t>
      </w:r>
      <w:proofErr w:type="gramStart"/>
      <w:r w:rsidRPr="00D87E10">
        <w:rPr>
          <w:rFonts w:ascii="Times New Roman" w:hAnsi="Times New Roman" w:cs="Times New Roman"/>
          <w:i/>
        </w:rPr>
        <w:t>§§ 1º, 3º e 4º do artigo 3º</w:t>
      </w:r>
      <w:r>
        <w:rPr>
          <w:rFonts w:ascii="Times New Roman" w:hAnsi="Times New Roman" w:cs="Times New Roman"/>
        </w:rPr>
        <w:t>”</w:t>
      </w:r>
      <w:proofErr w:type="gramEnd"/>
      <w:r w:rsidRPr="00D87E10">
        <w:rPr>
          <w:rFonts w:ascii="Times New Roman" w:hAnsi="Times New Roman" w:cs="Times New Roman"/>
        </w:rPr>
        <w:t>.</w:t>
      </w:r>
    </w:p>
    <w:p w:rsidR="00D87E10" w:rsidRDefault="00D87E10" w:rsidP="00D32DC7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Assim, </w:t>
      </w:r>
      <w:r w:rsidR="00091575">
        <w:rPr>
          <w:rFonts w:ascii="Times New Roman" w:hAnsi="Times New Roman" w:cs="Times New Roman"/>
        </w:rPr>
        <w:t xml:space="preserve">em razão do </w:t>
      </w:r>
      <w:r w:rsidRPr="00D87E10">
        <w:rPr>
          <w:rFonts w:ascii="Times New Roman" w:hAnsi="Times New Roman" w:cs="Times New Roman"/>
        </w:rPr>
        <w:t xml:space="preserve">regime </w:t>
      </w:r>
      <w:r>
        <w:rPr>
          <w:rFonts w:ascii="Times New Roman" w:hAnsi="Times New Roman" w:cs="Times New Roman"/>
        </w:rPr>
        <w:t xml:space="preserve">diferenciado </w:t>
      </w:r>
      <w:r w:rsidRPr="00D87E10">
        <w:rPr>
          <w:rFonts w:ascii="Times New Roman" w:hAnsi="Times New Roman" w:cs="Times New Roman"/>
        </w:rPr>
        <w:t xml:space="preserve">de recolhimento do ICMS e do respectivo adicional do </w:t>
      </w:r>
      <w:r>
        <w:rPr>
          <w:rFonts w:ascii="Times New Roman" w:hAnsi="Times New Roman" w:cs="Times New Roman"/>
        </w:rPr>
        <w:t>FECP a que aderiu, a consulente deve considerar o</w:t>
      </w:r>
      <w:r w:rsidR="000915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91575">
        <w:rPr>
          <w:rFonts w:ascii="Times New Roman" w:hAnsi="Times New Roman" w:cs="Times New Roman"/>
        </w:rPr>
        <w:t xml:space="preserve">valores </w:t>
      </w:r>
      <w:r w:rsidR="000E50C1">
        <w:rPr>
          <w:rFonts w:ascii="Times New Roman" w:hAnsi="Times New Roman" w:cs="Times New Roman"/>
        </w:rPr>
        <w:t xml:space="preserve">finais </w:t>
      </w:r>
      <w:r w:rsidR="0009157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ICMS que fo</w:t>
      </w:r>
      <w:r w:rsidR="000E50C1">
        <w:rPr>
          <w:rFonts w:ascii="Times New Roman" w:hAnsi="Times New Roman" w:cs="Times New Roman"/>
        </w:rPr>
        <w:t xml:space="preserve">ram </w:t>
      </w:r>
      <w:r>
        <w:rPr>
          <w:rFonts w:ascii="Times New Roman" w:hAnsi="Times New Roman" w:cs="Times New Roman"/>
        </w:rPr>
        <w:t>pago</w:t>
      </w:r>
      <w:r w:rsidR="000E50C1">
        <w:rPr>
          <w:rFonts w:ascii="Times New Roman" w:hAnsi="Times New Roman" w:cs="Times New Roman"/>
        </w:rPr>
        <w:t>s</w:t>
      </w:r>
      <w:r w:rsidR="00091575">
        <w:rPr>
          <w:rFonts w:ascii="Times New Roman" w:hAnsi="Times New Roman" w:cs="Times New Roman"/>
        </w:rPr>
        <w:t xml:space="preserve"> em cada mês de referência</w:t>
      </w:r>
      <w:r w:rsidR="000E50C1">
        <w:rPr>
          <w:rFonts w:ascii="Times New Roman" w:hAnsi="Times New Roman" w:cs="Times New Roman"/>
        </w:rPr>
        <w:t>, l</w:t>
      </w:r>
      <w:r w:rsidR="00091575">
        <w:rPr>
          <w:rFonts w:ascii="Times New Roman" w:hAnsi="Times New Roman" w:cs="Times New Roman"/>
        </w:rPr>
        <w:t>evando em considerando os ajustes decorrentes das antecipações</w:t>
      </w:r>
      <w:r w:rsidR="000E50C1">
        <w:rPr>
          <w:rFonts w:ascii="Times New Roman" w:hAnsi="Times New Roman" w:cs="Times New Roman"/>
        </w:rPr>
        <w:t>, para chegar ao valor do ICMS efetivamente devido e pago vinculado ao mês de referência.</w:t>
      </w:r>
    </w:p>
    <w:p w:rsidR="00CF4C42" w:rsidRDefault="007D7E58" w:rsidP="00D32DC7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ab/>
      </w:r>
      <w:proofErr w:type="gramStart"/>
      <w:r w:rsidR="00D670F3">
        <w:rPr>
          <w:rFonts w:ascii="Times New Roman" w:hAnsi="Times New Roman" w:cs="Times New Roman"/>
        </w:rPr>
        <w:t>Isto posto</w:t>
      </w:r>
      <w:proofErr w:type="gramEnd"/>
      <w:r w:rsidR="00D670F3">
        <w:rPr>
          <w:rFonts w:ascii="Times New Roman" w:hAnsi="Times New Roman" w:cs="Times New Roman"/>
        </w:rPr>
        <w:t xml:space="preserve">, </w:t>
      </w:r>
      <w:r w:rsidR="00EC304F">
        <w:rPr>
          <w:rFonts w:ascii="Times New Roman" w:hAnsi="Times New Roman" w:cs="Times New Roman"/>
          <w:lang w:eastAsia="pt-BR"/>
        </w:rPr>
        <w:t xml:space="preserve">no intuito de verificar se há necessidade de efetuar o depósito no FEEF </w:t>
      </w:r>
      <w:r w:rsidR="001541A5">
        <w:rPr>
          <w:rFonts w:ascii="Times New Roman" w:hAnsi="Times New Roman" w:cs="Times New Roman"/>
          <w:lang w:eastAsia="pt-BR"/>
        </w:rPr>
        <w:t xml:space="preserve">face a </w:t>
      </w:r>
      <w:r w:rsidR="00CF4C42">
        <w:rPr>
          <w:rFonts w:ascii="Times New Roman" w:hAnsi="Times New Roman" w:cs="Times New Roman"/>
          <w:lang w:eastAsia="pt-BR"/>
        </w:rPr>
        <w:t>previs</w:t>
      </w:r>
      <w:r w:rsidR="008D6927">
        <w:rPr>
          <w:rFonts w:ascii="Times New Roman" w:hAnsi="Times New Roman" w:cs="Times New Roman"/>
          <w:lang w:eastAsia="pt-BR"/>
        </w:rPr>
        <w:t xml:space="preserve">ão contida </w:t>
      </w:r>
      <w:r w:rsidR="00CF4C42">
        <w:rPr>
          <w:rFonts w:ascii="Times New Roman" w:hAnsi="Times New Roman" w:cs="Times New Roman"/>
          <w:lang w:eastAsia="pt-BR"/>
        </w:rPr>
        <w:t>no artigo</w:t>
      </w:r>
      <w:r w:rsidR="00EC304F">
        <w:rPr>
          <w:rFonts w:ascii="Times New Roman" w:hAnsi="Times New Roman" w:cs="Times New Roman"/>
          <w:lang w:eastAsia="pt-BR"/>
        </w:rPr>
        <w:t xml:space="preserve"> 6º do Decreto n.º 45.810/16, a </w:t>
      </w:r>
      <w:r w:rsidR="00CF4C42">
        <w:rPr>
          <w:rFonts w:ascii="Times New Roman" w:hAnsi="Times New Roman" w:cs="Times New Roman"/>
          <w:lang w:eastAsia="pt-BR"/>
        </w:rPr>
        <w:t>consu</w:t>
      </w:r>
      <w:r w:rsidR="00B63E6F">
        <w:rPr>
          <w:rFonts w:ascii="Times New Roman" w:hAnsi="Times New Roman" w:cs="Times New Roman"/>
          <w:lang w:eastAsia="pt-BR"/>
        </w:rPr>
        <w:t xml:space="preserve">lente deve </w:t>
      </w:r>
      <w:r w:rsidR="00CF4C42">
        <w:rPr>
          <w:rFonts w:ascii="Times New Roman" w:hAnsi="Times New Roman" w:cs="Times New Roman"/>
          <w:lang w:eastAsia="pt-BR"/>
        </w:rPr>
        <w:t>considerar os períodos conforme abaixo:</w:t>
      </w:r>
    </w:p>
    <w:p w:rsidR="00CF4C42" w:rsidRDefault="00CF4C42" w:rsidP="00D32DC7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1º)</w:t>
      </w:r>
      <w:proofErr w:type="gramEnd"/>
      <w:r>
        <w:rPr>
          <w:rFonts w:ascii="Times New Roman" w:hAnsi="Times New Roman" w:cs="Times New Roman"/>
          <w:lang w:eastAsia="pt-BR"/>
        </w:rPr>
        <w:t xml:space="preserve"> Depósito a ser efetuado no dia 20 de janeiro de 201</w:t>
      </w:r>
      <w:r w:rsidR="006C236B">
        <w:rPr>
          <w:rFonts w:ascii="Times New Roman" w:hAnsi="Times New Roman" w:cs="Times New Roman"/>
          <w:lang w:eastAsia="pt-BR"/>
        </w:rPr>
        <w:t>7</w:t>
      </w:r>
      <w:r>
        <w:rPr>
          <w:rFonts w:ascii="Times New Roman" w:hAnsi="Times New Roman" w:cs="Times New Roman"/>
          <w:lang w:eastAsia="pt-BR"/>
        </w:rPr>
        <w:t>:</w:t>
      </w:r>
    </w:p>
    <w:p w:rsidR="00D670F3" w:rsidRDefault="00CF4C42" w:rsidP="00D32DC7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EC304F">
        <w:rPr>
          <w:rFonts w:ascii="Times New Roman" w:hAnsi="Times New Roman" w:cs="Times New Roman"/>
          <w:lang w:eastAsia="pt-BR"/>
        </w:rPr>
        <w:t>Verificar os v</w:t>
      </w:r>
      <w:r>
        <w:rPr>
          <w:rFonts w:ascii="Times New Roman" w:hAnsi="Times New Roman" w:cs="Times New Roman"/>
          <w:lang w:eastAsia="pt-BR"/>
        </w:rPr>
        <w:t>alor</w:t>
      </w:r>
      <w:r w:rsidR="00EC304F">
        <w:rPr>
          <w:rFonts w:ascii="Times New Roman" w:hAnsi="Times New Roman" w:cs="Times New Roman"/>
          <w:lang w:eastAsia="pt-BR"/>
        </w:rPr>
        <w:t>es</w:t>
      </w:r>
      <w:r>
        <w:rPr>
          <w:rFonts w:ascii="Times New Roman" w:hAnsi="Times New Roman" w:cs="Times New Roman"/>
          <w:lang w:eastAsia="pt-BR"/>
        </w:rPr>
        <w:t xml:space="preserve"> d</w:t>
      </w:r>
      <w:r w:rsidR="00EC304F">
        <w:rPr>
          <w:rFonts w:ascii="Times New Roman" w:hAnsi="Times New Roman" w:cs="Times New Roman"/>
          <w:lang w:eastAsia="pt-BR"/>
        </w:rPr>
        <w:t>o</w:t>
      </w:r>
      <w:r>
        <w:rPr>
          <w:rFonts w:ascii="Times New Roman" w:hAnsi="Times New Roman" w:cs="Times New Roman"/>
          <w:lang w:eastAsia="pt-BR"/>
        </w:rPr>
        <w:t xml:space="preserve"> ICMS arrecadado referentes às prestações e operações realizadas nos meses de </w:t>
      </w:r>
      <w:r w:rsidR="007167A8">
        <w:rPr>
          <w:rFonts w:ascii="Times New Roman" w:hAnsi="Times New Roman" w:cs="Times New Roman"/>
          <w:lang w:eastAsia="pt-BR"/>
        </w:rPr>
        <w:t>outubro</w:t>
      </w:r>
      <w:r w:rsidR="00F26833">
        <w:rPr>
          <w:rFonts w:ascii="Times New Roman" w:hAnsi="Times New Roman" w:cs="Times New Roman"/>
          <w:lang w:eastAsia="pt-BR"/>
        </w:rPr>
        <w:t>/</w:t>
      </w:r>
      <w:r w:rsidR="009F57B2">
        <w:rPr>
          <w:rFonts w:ascii="Times New Roman" w:hAnsi="Times New Roman" w:cs="Times New Roman"/>
          <w:lang w:eastAsia="pt-BR"/>
        </w:rPr>
        <w:t>2015</w:t>
      </w:r>
      <w:r w:rsidR="007167A8">
        <w:rPr>
          <w:rFonts w:ascii="Times New Roman" w:hAnsi="Times New Roman" w:cs="Times New Roman"/>
          <w:lang w:eastAsia="pt-BR"/>
        </w:rPr>
        <w:t>, novembro</w:t>
      </w:r>
      <w:r w:rsidR="00F26833">
        <w:rPr>
          <w:rFonts w:ascii="Times New Roman" w:hAnsi="Times New Roman" w:cs="Times New Roman"/>
          <w:lang w:eastAsia="pt-BR"/>
        </w:rPr>
        <w:t>/201</w:t>
      </w:r>
      <w:r w:rsidR="00B63E6F">
        <w:rPr>
          <w:rFonts w:ascii="Times New Roman" w:hAnsi="Times New Roman" w:cs="Times New Roman"/>
          <w:lang w:eastAsia="pt-BR"/>
        </w:rPr>
        <w:t>5</w:t>
      </w:r>
      <w:r w:rsidR="007167A8">
        <w:rPr>
          <w:rFonts w:ascii="Times New Roman" w:hAnsi="Times New Roman" w:cs="Times New Roman"/>
          <w:lang w:eastAsia="pt-BR"/>
        </w:rPr>
        <w:t xml:space="preserve"> e dezembro/201</w:t>
      </w:r>
      <w:r w:rsidR="00B63E6F">
        <w:rPr>
          <w:rFonts w:ascii="Times New Roman" w:hAnsi="Times New Roman" w:cs="Times New Roman"/>
          <w:lang w:eastAsia="pt-BR"/>
        </w:rPr>
        <w:t>5</w:t>
      </w:r>
      <w:r>
        <w:rPr>
          <w:rFonts w:ascii="Times New Roman" w:hAnsi="Times New Roman" w:cs="Times New Roman"/>
          <w:lang w:eastAsia="pt-BR"/>
        </w:rPr>
        <w:t xml:space="preserve"> </w:t>
      </w:r>
      <w:r w:rsidR="00B63E6F">
        <w:rPr>
          <w:rFonts w:ascii="Times New Roman" w:hAnsi="Times New Roman" w:cs="Times New Roman"/>
          <w:lang w:eastAsia="pt-BR"/>
        </w:rPr>
        <w:t xml:space="preserve">comparado com a arrecadação </w:t>
      </w:r>
      <w:r w:rsidR="006C236B">
        <w:rPr>
          <w:rFonts w:ascii="Times New Roman" w:hAnsi="Times New Roman" w:cs="Times New Roman"/>
          <w:lang w:eastAsia="pt-BR"/>
        </w:rPr>
        <w:t xml:space="preserve">referente às prestações e operações realizadas </w:t>
      </w:r>
      <w:r w:rsidR="00B63E6F">
        <w:rPr>
          <w:rFonts w:ascii="Times New Roman" w:hAnsi="Times New Roman" w:cs="Times New Roman"/>
          <w:lang w:eastAsia="pt-BR"/>
        </w:rPr>
        <w:t>aos meses de outubro/201</w:t>
      </w:r>
      <w:r w:rsidR="006C236B">
        <w:rPr>
          <w:rFonts w:ascii="Times New Roman" w:hAnsi="Times New Roman" w:cs="Times New Roman"/>
          <w:lang w:eastAsia="pt-BR"/>
        </w:rPr>
        <w:t>6</w:t>
      </w:r>
      <w:r w:rsidR="00B63E6F">
        <w:rPr>
          <w:rFonts w:ascii="Times New Roman" w:hAnsi="Times New Roman" w:cs="Times New Roman"/>
          <w:lang w:eastAsia="pt-BR"/>
        </w:rPr>
        <w:t>, novembro/201</w:t>
      </w:r>
      <w:r w:rsidR="006C236B">
        <w:rPr>
          <w:rFonts w:ascii="Times New Roman" w:hAnsi="Times New Roman" w:cs="Times New Roman"/>
          <w:lang w:eastAsia="pt-BR"/>
        </w:rPr>
        <w:t>6</w:t>
      </w:r>
      <w:r w:rsidR="00B63E6F">
        <w:rPr>
          <w:rFonts w:ascii="Times New Roman" w:hAnsi="Times New Roman" w:cs="Times New Roman"/>
          <w:lang w:eastAsia="pt-BR"/>
        </w:rPr>
        <w:t xml:space="preserve"> e dezembro/201</w:t>
      </w:r>
      <w:r w:rsidR="006C236B">
        <w:rPr>
          <w:rFonts w:ascii="Times New Roman" w:hAnsi="Times New Roman" w:cs="Times New Roman"/>
          <w:lang w:eastAsia="pt-BR"/>
        </w:rPr>
        <w:t>6</w:t>
      </w:r>
      <w:r w:rsidR="00D0799C">
        <w:rPr>
          <w:rFonts w:ascii="Times New Roman" w:hAnsi="Times New Roman" w:cs="Times New Roman"/>
          <w:lang w:eastAsia="pt-BR"/>
        </w:rPr>
        <w:t>, cujo</w:t>
      </w:r>
      <w:r w:rsidR="006A7E9F">
        <w:rPr>
          <w:rFonts w:ascii="Times New Roman" w:hAnsi="Times New Roman" w:cs="Times New Roman"/>
          <w:lang w:eastAsia="pt-BR"/>
        </w:rPr>
        <w:t>s</w:t>
      </w:r>
      <w:r w:rsidR="00D0799C">
        <w:rPr>
          <w:rFonts w:ascii="Times New Roman" w:hAnsi="Times New Roman" w:cs="Times New Roman"/>
          <w:lang w:eastAsia="pt-BR"/>
        </w:rPr>
        <w:t xml:space="preserve"> prazo</w:t>
      </w:r>
      <w:r w:rsidR="006A7E9F">
        <w:rPr>
          <w:rFonts w:ascii="Times New Roman" w:hAnsi="Times New Roman" w:cs="Times New Roman"/>
          <w:lang w:eastAsia="pt-BR"/>
        </w:rPr>
        <w:t>s</w:t>
      </w:r>
      <w:r w:rsidR="00D0799C">
        <w:rPr>
          <w:rFonts w:ascii="Times New Roman" w:hAnsi="Times New Roman" w:cs="Times New Roman"/>
          <w:lang w:eastAsia="pt-BR"/>
        </w:rPr>
        <w:t xml:space="preserve"> para pagamento est</w:t>
      </w:r>
      <w:r w:rsidR="006A7E9F">
        <w:rPr>
          <w:rFonts w:ascii="Times New Roman" w:hAnsi="Times New Roman" w:cs="Times New Roman"/>
          <w:lang w:eastAsia="pt-BR"/>
        </w:rPr>
        <w:t>ão</w:t>
      </w:r>
      <w:r w:rsidR="00D0799C">
        <w:rPr>
          <w:rFonts w:ascii="Times New Roman" w:hAnsi="Times New Roman" w:cs="Times New Roman"/>
          <w:lang w:eastAsia="pt-BR"/>
        </w:rPr>
        <w:t xml:space="preserve"> fixados no </w:t>
      </w:r>
      <w:r w:rsidR="00D0799C">
        <w:rPr>
          <w:rFonts w:ascii="Times New Roman" w:hAnsi="Times New Roman" w:cs="Times New Roman"/>
        </w:rPr>
        <w:t>Decreto n.º 45.520/15 c/c Resolução SEFAZ n.º 958/16.</w:t>
      </w:r>
    </w:p>
    <w:p w:rsidR="00E92D10" w:rsidRDefault="00E92D10" w:rsidP="00D32DC7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E</w:t>
      </w:r>
      <w:r>
        <w:rPr>
          <w:rFonts w:ascii="Times New Roman" w:hAnsi="Times New Roman" w:cs="Times New Roman"/>
        </w:rPr>
        <w:t xml:space="preserve">xcepcionalmente em relação ao depósito no FEEF a ser feito no dia 20 </w:t>
      </w:r>
      <w:r>
        <w:rPr>
          <w:rFonts w:ascii="Times New Roman" w:hAnsi="Times New Roman" w:cs="Times New Roman"/>
          <w:lang w:eastAsia="pt-BR"/>
        </w:rPr>
        <w:t xml:space="preserve">de janeiro de 2017, os </w:t>
      </w:r>
      <w:r w:rsidRPr="00E92D10">
        <w:rPr>
          <w:rFonts w:ascii="Times New Roman" w:hAnsi="Times New Roman" w:cs="Times New Roman"/>
          <w:lang w:eastAsia="pt-BR"/>
        </w:rPr>
        <w:t>meses de outubro e novembro de 2016 poder</w:t>
      </w:r>
      <w:r>
        <w:rPr>
          <w:rFonts w:ascii="Times New Roman" w:hAnsi="Times New Roman" w:cs="Times New Roman"/>
          <w:lang w:eastAsia="pt-BR"/>
        </w:rPr>
        <w:t xml:space="preserve">ão </w:t>
      </w:r>
      <w:r w:rsidRPr="00E92D10">
        <w:rPr>
          <w:rFonts w:ascii="Times New Roman" w:hAnsi="Times New Roman" w:cs="Times New Roman"/>
          <w:lang w:eastAsia="pt-BR"/>
        </w:rPr>
        <w:t>ser substituído pelo valor relativo ao mês de dezembro de 2016</w:t>
      </w:r>
      <w:r w:rsidR="00EC304F">
        <w:rPr>
          <w:rFonts w:ascii="Times New Roman" w:hAnsi="Times New Roman" w:cs="Times New Roman"/>
          <w:lang w:eastAsia="pt-BR"/>
        </w:rPr>
        <w:t xml:space="preserve">, conforme previsto no § 4º do </w:t>
      </w:r>
      <w:r w:rsidR="00EC304F">
        <w:rPr>
          <w:rFonts w:ascii="Times New Roman" w:hAnsi="Times New Roman" w:cs="Times New Roman"/>
        </w:rPr>
        <w:t>artigo 6º do Decreto n.º 45.810/16.</w:t>
      </w:r>
    </w:p>
    <w:p w:rsidR="00A577EE" w:rsidRDefault="00A577EE" w:rsidP="00A577EE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2º)</w:t>
      </w:r>
      <w:proofErr w:type="gramEnd"/>
      <w:r>
        <w:rPr>
          <w:rFonts w:ascii="Times New Roman" w:hAnsi="Times New Roman" w:cs="Times New Roman"/>
          <w:lang w:eastAsia="pt-BR"/>
        </w:rPr>
        <w:t xml:space="preserve"> Depósito a ser efetuado no dia 20 de fevereiro de 2017:</w:t>
      </w:r>
    </w:p>
    <w:p w:rsidR="006A7E9F" w:rsidRDefault="00A577EE" w:rsidP="00917166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C304F">
        <w:rPr>
          <w:rFonts w:ascii="Times New Roman" w:hAnsi="Times New Roman" w:cs="Times New Roman"/>
          <w:lang w:eastAsia="pt-BR"/>
        </w:rPr>
        <w:t xml:space="preserve">Verificar os valores do ICMS arrecadado </w:t>
      </w:r>
      <w:r>
        <w:rPr>
          <w:rFonts w:ascii="Times New Roman" w:hAnsi="Times New Roman" w:cs="Times New Roman"/>
          <w:lang w:eastAsia="pt-BR"/>
        </w:rPr>
        <w:t>referentes às prestações e operações realizadas nos meses de novembro/2015, dezembro/2015 e janeiro/2015 comparado com a arrecadação referente às prestações e operações realizadas aos meses de novembro/201</w:t>
      </w:r>
      <w:r w:rsidR="00D0799C">
        <w:rPr>
          <w:rFonts w:ascii="Times New Roman" w:hAnsi="Times New Roman" w:cs="Times New Roman"/>
          <w:lang w:eastAsia="pt-BR"/>
        </w:rPr>
        <w:t xml:space="preserve">6, dezembro/2016 e janeiro/2016, </w:t>
      </w:r>
      <w:r w:rsidR="006A7E9F">
        <w:rPr>
          <w:rFonts w:ascii="Times New Roman" w:hAnsi="Times New Roman" w:cs="Times New Roman"/>
          <w:lang w:eastAsia="pt-BR"/>
        </w:rPr>
        <w:t xml:space="preserve">cujos prazos para pagamento estão fixados no </w:t>
      </w:r>
      <w:r w:rsidR="006A7E9F">
        <w:rPr>
          <w:rFonts w:ascii="Times New Roman" w:hAnsi="Times New Roman" w:cs="Times New Roman"/>
        </w:rPr>
        <w:t>Decreto n.º 45.520/15 c/c Resolução SEFAZ n.º 958/16.</w:t>
      </w:r>
    </w:p>
    <w:p w:rsidR="00E92D10" w:rsidRDefault="00E92D10" w:rsidP="00917166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  <w:t>E</w:t>
      </w:r>
      <w:r>
        <w:rPr>
          <w:rFonts w:ascii="Times New Roman" w:hAnsi="Times New Roman" w:cs="Times New Roman"/>
        </w:rPr>
        <w:t xml:space="preserve">xcepcionalmente, para efeito da comparação, em relação ao depósito no FEEF a ser feito no dia 20 </w:t>
      </w:r>
      <w:r>
        <w:rPr>
          <w:rFonts w:ascii="Times New Roman" w:hAnsi="Times New Roman" w:cs="Times New Roman"/>
          <w:lang w:eastAsia="pt-BR"/>
        </w:rPr>
        <w:t xml:space="preserve">de fevereiro de 2017, o </w:t>
      </w:r>
      <w:r w:rsidRPr="00E92D10">
        <w:rPr>
          <w:rFonts w:ascii="Times New Roman" w:hAnsi="Times New Roman" w:cs="Times New Roman"/>
          <w:lang w:eastAsia="pt-BR"/>
        </w:rPr>
        <w:t>m</w:t>
      </w:r>
      <w:r>
        <w:rPr>
          <w:rFonts w:ascii="Times New Roman" w:hAnsi="Times New Roman" w:cs="Times New Roman"/>
          <w:lang w:eastAsia="pt-BR"/>
        </w:rPr>
        <w:t>ê</w:t>
      </w:r>
      <w:r w:rsidRPr="00E92D10">
        <w:rPr>
          <w:rFonts w:ascii="Times New Roman" w:hAnsi="Times New Roman" w:cs="Times New Roman"/>
          <w:lang w:eastAsia="pt-BR"/>
        </w:rPr>
        <w:t>s de novembro de 2016 pode</w:t>
      </w:r>
      <w:r>
        <w:rPr>
          <w:rFonts w:ascii="Times New Roman" w:hAnsi="Times New Roman" w:cs="Times New Roman"/>
          <w:lang w:eastAsia="pt-BR"/>
        </w:rPr>
        <w:t xml:space="preserve">rá </w:t>
      </w:r>
      <w:r w:rsidRPr="00E92D10">
        <w:rPr>
          <w:rFonts w:ascii="Times New Roman" w:hAnsi="Times New Roman" w:cs="Times New Roman"/>
          <w:lang w:eastAsia="pt-BR"/>
        </w:rPr>
        <w:t>ser substituído pelo valor relativo ao mês de dezembro de 2016</w:t>
      </w:r>
      <w:r w:rsidR="00EC304F">
        <w:rPr>
          <w:rFonts w:ascii="Times New Roman" w:hAnsi="Times New Roman" w:cs="Times New Roman"/>
          <w:lang w:eastAsia="pt-BR"/>
        </w:rPr>
        <w:t xml:space="preserve">, conforme previsto no § 4º do </w:t>
      </w:r>
      <w:r w:rsidR="00EC304F">
        <w:rPr>
          <w:rFonts w:ascii="Times New Roman" w:hAnsi="Times New Roman" w:cs="Times New Roman"/>
        </w:rPr>
        <w:t>artigo 6º do Decreto n.º 45.810/16.</w:t>
      </w:r>
    </w:p>
    <w:p w:rsidR="00917166" w:rsidRDefault="00917166" w:rsidP="00917166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3º)</w:t>
      </w:r>
      <w:proofErr w:type="gramEnd"/>
      <w:r>
        <w:rPr>
          <w:rFonts w:ascii="Times New Roman" w:hAnsi="Times New Roman" w:cs="Times New Roman"/>
          <w:lang w:eastAsia="pt-BR"/>
        </w:rPr>
        <w:t xml:space="preserve"> Depósito a ser efetuado no dia 20 de março de 2017:</w:t>
      </w:r>
    </w:p>
    <w:p w:rsidR="006A7E9F" w:rsidRDefault="00917166" w:rsidP="00917166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C304F">
        <w:rPr>
          <w:rFonts w:ascii="Times New Roman" w:hAnsi="Times New Roman" w:cs="Times New Roman"/>
          <w:lang w:eastAsia="pt-BR"/>
        </w:rPr>
        <w:t xml:space="preserve">Verificar os valores do ICMS arrecadado </w:t>
      </w:r>
      <w:r>
        <w:rPr>
          <w:rFonts w:ascii="Times New Roman" w:hAnsi="Times New Roman" w:cs="Times New Roman"/>
          <w:lang w:eastAsia="pt-BR"/>
        </w:rPr>
        <w:t>referentes às prestações e operações realizadas nos meses de dezembro/2015, janeiro/2015 e fevereiro/2015 comparado com a arrecadação referente às prestações e operações realizadas aos meses de dezembro/2016</w:t>
      </w:r>
      <w:r w:rsidR="00D0799C">
        <w:rPr>
          <w:rFonts w:ascii="Times New Roman" w:hAnsi="Times New Roman" w:cs="Times New Roman"/>
          <w:lang w:eastAsia="pt-BR"/>
        </w:rPr>
        <w:t>, janeiro/2016 e fevereiro/2016,</w:t>
      </w:r>
      <w:r w:rsidR="00D0799C">
        <w:rPr>
          <w:rFonts w:ascii="Times New Roman" w:hAnsi="Times New Roman" w:cs="Times New Roman"/>
        </w:rPr>
        <w:t xml:space="preserve"> </w:t>
      </w:r>
      <w:r w:rsidR="006A7E9F">
        <w:rPr>
          <w:rFonts w:ascii="Times New Roman" w:hAnsi="Times New Roman" w:cs="Times New Roman"/>
          <w:lang w:eastAsia="pt-BR"/>
        </w:rPr>
        <w:t xml:space="preserve">cujos prazos para pagamento estão fixados no </w:t>
      </w:r>
      <w:r w:rsidR="006A7E9F">
        <w:rPr>
          <w:rFonts w:ascii="Times New Roman" w:hAnsi="Times New Roman" w:cs="Times New Roman"/>
        </w:rPr>
        <w:t>Decreto n.º 45.520/15 c/c Resolução SEFAZ n.º 958/16.</w:t>
      </w:r>
    </w:p>
    <w:p w:rsidR="00917166" w:rsidRDefault="00917166" w:rsidP="00917166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4º)</w:t>
      </w:r>
      <w:proofErr w:type="gramEnd"/>
      <w:r>
        <w:rPr>
          <w:rFonts w:ascii="Times New Roman" w:hAnsi="Times New Roman" w:cs="Times New Roman"/>
          <w:lang w:eastAsia="pt-BR"/>
        </w:rPr>
        <w:t xml:space="preserve"> Depósito a ser efetuado no dia 20 de abril de 2017:</w:t>
      </w:r>
    </w:p>
    <w:p w:rsidR="006A7E9F" w:rsidRDefault="00917166" w:rsidP="00A5722D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EC304F">
        <w:rPr>
          <w:rFonts w:ascii="Times New Roman" w:hAnsi="Times New Roman" w:cs="Times New Roman"/>
          <w:lang w:eastAsia="pt-BR"/>
        </w:rPr>
        <w:t xml:space="preserve">Verificar os valores do ICMS arrecadado </w:t>
      </w:r>
      <w:r>
        <w:rPr>
          <w:rFonts w:ascii="Times New Roman" w:hAnsi="Times New Roman" w:cs="Times New Roman"/>
          <w:lang w:eastAsia="pt-BR"/>
        </w:rPr>
        <w:t>referentes às prestações e operações realizadas nos meses de janeiro/2015, fevereiro/2015 e março/2015 comparado com a arrecadação referente às prestações e operações realizadas aos meses de janeiro/2016, fevereiro/2016 e março/2016</w:t>
      </w:r>
      <w:r w:rsidR="00D0799C">
        <w:rPr>
          <w:rFonts w:ascii="Times New Roman" w:hAnsi="Times New Roman" w:cs="Times New Roman"/>
          <w:lang w:eastAsia="pt-BR"/>
        </w:rPr>
        <w:t xml:space="preserve">, </w:t>
      </w:r>
      <w:r w:rsidR="006A7E9F">
        <w:rPr>
          <w:rFonts w:ascii="Times New Roman" w:hAnsi="Times New Roman" w:cs="Times New Roman"/>
          <w:lang w:eastAsia="pt-BR"/>
        </w:rPr>
        <w:t xml:space="preserve">cujos prazos para pagamento estão fixados no </w:t>
      </w:r>
      <w:r w:rsidR="006A7E9F">
        <w:rPr>
          <w:rFonts w:ascii="Times New Roman" w:hAnsi="Times New Roman" w:cs="Times New Roman"/>
        </w:rPr>
        <w:t>Decreto n.º 45.520/15 c/c Resolução SEFAZ n.º 958/16.</w:t>
      </w:r>
    </w:p>
    <w:p w:rsidR="007D7E58" w:rsidRDefault="00917166" w:rsidP="00A5722D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D9385E">
        <w:rPr>
          <w:rFonts w:ascii="Times New Roman" w:hAnsi="Times New Roman" w:cs="Times New Roman"/>
          <w:lang w:eastAsia="pt-BR"/>
        </w:rPr>
        <w:t>E assim sucessivamente</w:t>
      </w:r>
      <w:r w:rsidR="000620BE">
        <w:rPr>
          <w:rFonts w:ascii="Times New Roman" w:hAnsi="Times New Roman" w:cs="Times New Roman"/>
          <w:lang w:eastAsia="pt-BR"/>
        </w:rPr>
        <w:t xml:space="preserve">, até </w:t>
      </w:r>
      <w:r w:rsidR="007D7E58">
        <w:rPr>
          <w:rFonts w:ascii="Times New Roman" w:hAnsi="Times New Roman" w:cs="Times New Roman"/>
          <w:lang w:eastAsia="pt-BR"/>
        </w:rPr>
        <w:t xml:space="preserve">as prestações e operações referentes </w:t>
      </w:r>
      <w:proofErr w:type="gramStart"/>
      <w:r w:rsidR="007D7E58">
        <w:rPr>
          <w:rFonts w:ascii="Times New Roman" w:hAnsi="Times New Roman" w:cs="Times New Roman"/>
          <w:lang w:eastAsia="pt-BR"/>
        </w:rPr>
        <w:t>à</w:t>
      </w:r>
      <w:proofErr w:type="gramEnd"/>
      <w:r w:rsidR="007D7E58">
        <w:rPr>
          <w:rFonts w:ascii="Times New Roman" w:hAnsi="Times New Roman" w:cs="Times New Roman"/>
          <w:lang w:eastAsia="pt-BR"/>
        </w:rPr>
        <w:t xml:space="preserve"> </w:t>
      </w:r>
      <w:r w:rsidR="007D7E58" w:rsidRPr="007D7E58">
        <w:rPr>
          <w:rFonts w:ascii="Times New Roman" w:hAnsi="Times New Roman" w:cs="Times New Roman"/>
          <w:lang w:eastAsia="pt-BR"/>
        </w:rPr>
        <w:t>dezembro de 2018</w:t>
      </w:r>
      <w:r w:rsidR="007D7E58">
        <w:rPr>
          <w:rFonts w:ascii="Times New Roman" w:hAnsi="Times New Roman" w:cs="Times New Roman"/>
          <w:lang w:eastAsia="pt-BR"/>
        </w:rPr>
        <w:t xml:space="preserve">, </w:t>
      </w:r>
      <w:r w:rsidR="007A4DE2">
        <w:rPr>
          <w:rFonts w:ascii="Times New Roman" w:hAnsi="Times New Roman" w:cs="Times New Roman"/>
          <w:lang w:eastAsia="pt-BR"/>
        </w:rPr>
        <w:t xml:space="preserve">em que o </w:t>
      </w:r>
      <w:r w:rsidR="007D7E58">
        <w:rPr>
          <w:rFonts w:ascii="Times New Roman" w:hAnsi="Times New Roman" w:cs="Times New Roman"/>
          <w:lang w:eastAsia="pt-BR"/>
        </w:rPr>
        <w:t xml:space="preserve">depósito </w:t>
      </w:r>
      <w:r w:rsidR="00CE2BBA">
        <w:rPr>
          <w:rFonts w:ascii="Times New Roman" w:hAnsi="Times New Roman" w:cs="Times New Roman"/>
          <w:lang w:eastAsia="pt-BR"/>
        </w:rPr>
        <w:t xml:space="preserve">deverá </w:t>
      </w:r>
      <w:r w:rsidR="007D7E58">
        <w:rPr>
          <w:rFonts w:ascii="Times New Roman" w:hAnsi="Times New Roman" w:cs="Times New Roman"/>
          <w:lang w:eastAsia="pt-BR"/>
        </w:rPr>
        <w:t>a ser realizado em 20 de janeiro de 2019.</w:t>
      </w:r>
    </w:p>
    <w:p w:rsidR="006F1A55" w:rsidRDefault="007D7E58" w:rsidP="00A5722D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D9385E">
        <w:rPr>
          <w:rFonts w:ascii="Times New Roman" w:hAnsi="Times New Roman" w:cs="Times New Roman"/>
          <w:lang w:eastAsia="pt-BR"/>
        </w:rPr>
        <w:t>Em qualquer período, s</w:t>
      </w:r>
      <w:r w:rsidR="00A5722D">
        <w:rPr>
          <w:rFonts w:ascii="Times New Roman" w:hAnsi="Times New Roman" w:cs="Times New Roman"/>
          <w:lang w:eastAsia="pt-BR"/>
        </w:rPr>
        <w:t xml:space="preserve">e houver incremento de receita </w:t>
      </w:r>
      <w:r w:rsidR="007A4DE2">
        <w:rPr>
          <w:rFonts w:ascii="Times New Roman" w:hAnsi="Times New Roman" w:cs="Times New Roman"/>
          <w:lang w:eastAsia="pt-BR"/>
        </w:rPr>
        <w:t>no trimestre comparado</w:t>
      </w:r>
      <w:r w:rsidR="00A5722D" w:rsidRPr="006C236B">
        <w:rPr>
          <w:rFonts w:ascii="Times New Roman" w:hAnsi="Times New Roman" w:cs="Times New Roman"/>
          <w:lang w:eastAsia="pt-BR"/>
        </w:rPr>
        <w:t>, em termos nominais, em patamar superior ao montante que seria depositado no FEEF</w:t>
      </w:r>
      <w:r w:rsidR="00A5722D">
        <w:rPr>
          <w:rFonts w:ascii="Times New Roman" w:hAnsi="Times New Roman" w:cs="Times New Roman"/>
          <w:lang w:eastAsia="pt-BR"/>
        </w:rPr>
        <w:t>, calculado de acordo com o artigo 5º ou 5º-A do Decreto n.º 45.810/16, a consulente estará dispensada de efetuar o dep</w:t>
      </w:r>
      <w:r w:rsidR="006F1A55">
        <w:rPr>
          <w:rFonts w:ascii="Times New Roman" w:hAnsi="Times New Roman" w:cs="Times New Roman"/>
          <w:lang w:eastAsia="pt-BR"/>
        </w:rPr>
        <w:t>ósito no FEEF, observadas as demais normas dos §§ 1º, 2º, 3º e 5º do artigo 6º do decreto em questão.</w:t>
      </w:r>
    </w:p>
    <w:p w:rsidR="000E50C1" w:rsidRDefault="006F1A55" w:rsidP="00A5722D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proofErr w:type="gramStart"/>
      <w:r>
        <w:rPr>
          <w:rFonts w:ascii="Times New Roman" w:hAnsi="Times New Roman" w:cs="Times New Roman"/>
          <w:lang w:eastAsia="pt-BR"/>
        </w:rPr>
        <w:t>2</w:t>
      </w:r>
      <w:proofErr w:type="gramEnd"/>
      <w:r>
        <w:rPr>
          <w:rFonts w:ascii="Times New Roman" w:hAnsi="Times New Roman" w:cs="Times New Roman"/>
          <w:lang w:eastAsia="pt-BR"/>
        </w:rPr>
        <w:t>) Não. Conforme respondido no item anterior, a consulente deve considerar as prestações e operações realizadas no mês de referência</w:t>
      </w:r>
      <w:r w:rsidR="006A7E9F">
        <w:rPr>
          <w:rFonts w:ascii="Times New Roman" w:hAnsi="Times New Roman" w:cs="Times New Roman"/>
          <w:lang w:eastAsia="pt-BR"/>
        </w:rPr>
        <w:t>, ou seja, mês de competência</w:t>
      </w:r>
      <w:r w:rsidR="008D6927">
        <w:rPr>
          <w:rFonts w:ascii="Times New Roman" w:hAnsi="Times New Roman" w:cs="Times New Roman"/>
          <w:lang w:eastAsia="pt-BR"/>
        </w:rPr>
        <w:t xml:space="preserve">.  </w:t>
      </w:r>
    </w:p>
    <w:p w:rsidR="006F1A55" w:rsidRDefault="006F1A55" w:rsidP="00A5722D">
      <w:pPr>
        <w:spacing w:line="360" w:lineRule="auto"/>
        <w:ind w:right="-851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Solicitamos à </w:t>
      </w:r>
      <w:r>
        <w:rPr>
          <w:rFonts w:ascii="Times New Roman" w:hAnsi="Times New Roman"/>
        </w:rPr>
        <w:t>AFE – 03</w:t>
      </w:r>
      <w:r w:rsidR="0071224B">
        <w:rPr>
          <w:rFonts w:ascii="Times New Roman" w:hAnsi="Times New Roman"/>
        </w:rPr>
        <w:t xml:space="preserve"> somente dar ciência desta resposta caso a consulente </w:t>
      </w:r>
      <w:r w:rsidR="0071224B" w:rsidRPr="0071224B">
        <w:rPr>
          <w:rFonts w:ascii="Times New Roman" w:hAnsi="Times New Roman" w:cs="Times New Roman"/>
        </w:rPr>
        <w:t xml:space="preserve">não esteja </w:t>
      </w:r>
      <w:proofErr w:type="gramStart"/>
      <w:r w:rsidR="0071224B" w:rsidRPr="0071224B">
        <w:rPr>
          <w:rFonts w:ascii="Times New Roman" w:hAnsi="Times New Roman" w:cs="Times New Roman"/>
        </w:rPr>
        <w:t>sob ação</w:t>
      </w:r>
      <w:proofErr w:type="gramEnd"/>
      <w:r w:rsidR="0071224B" w:rsidRPr="0071224B">
        <w:rPr>
          <w:rFonts w:ascii="Times New Roman" w:hAnsi="Times New Roman" w:cs="Times New Roman"/>
        </w:rPr>
        <w:t xml:space="preserve"> fiscal ou caso a mesma não tenha sido autuada, e cujo fundamento esteja direta ou indiretamente relacionado às dúvidas suscitadas.</w:t>
      </w:r>
      <w:r w:rsidR="00830668">
        <w:rPr>
          <w:rFonts w:ascii="Times New Roman" w:hAnsi="Times New Roman" w:cs="Times New Roman"/>
        </w:rPr>
        <w:t xml:space="preserve">  Em caso positivo, o processo retornar à CCT</w:t>
      </w:r>
      <w:r w:rsidR="00D0799C">
        <w:rPr>
          <w:rFonts w:ascii="Times New Roman" w:hAnsi="Times New Roman" w:cs="Times New Roman"/>
        </w:rPr>
        <w:t>.</w:t>
      </w:r>
    </w:p>
    <w:p w:rsidR="0077465F" w:rsidRPr="0077465F" w:rsidRDefault="00D670F3" w:rsidP="00EC304F">
      <w:pPr>
        <w:spacing w:line="360" w:lineRule="auto"/>
        <w:ind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t-BR"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lastRenderedPageBreak/>
        <w:t>CCJT, em</w:t>
      </w:r>
      <w:r w:rsidR="0071224B">
        <w:rPr>
          <w:rFonts w:ascii="Times New Roman" w:hAnsi="Times New Roman" w:cs="Times New Roman"/>
        </w:rPr>
        <w:t xml:space="preserve"> 10 </w:t>
      </w:r>
      <w:r w:rsidR="001858F7" w:rsidRPr="00EF07B0">
        <w:rPr>
          <w:rFonts w:ascii="Times New Roman" w:hAnsi="Times New Roman" w:cs="Times New Roman"/>
        </w:rPr>
        <w:t>de</w:t>
      </w:r>
      <w:r w:rsidR="0071224B">
        <w:rPr>
          <w:rFonts w:ascii="Times New Roman" w:hAnsi="Times New Roman" w:cs="Times New Roman"/>
        </w:rPr>
        <w:t xml:space="preserve"> agosto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1503A7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A66FF3">
      <w:headerReference w:type="default" r:id="rId9"/>
      <w:pgSz w:w="11906" w:h="16838"/>
      <w:pgMar w:top="1417" w:right="1701" w:bottom="1417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647B290" wp14:editId="379A46D5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CF204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424445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424445">
                  <w:rPr>
                    <w:rFonts w:ascii="Times New Roman" w:hAnsi="Times New Roman"/>
                    <w:sz w:val="20"/>
                  </w:rPr>
                  <w:t>244</w:t>
                </w:r>
                <w:r w:rsidR="00CF2045">
                  <w:rPr>
                    <w:rFonts w:ascii="Times New Roman" w:hAnsi="Times New Roman"/>
                    <w:sz w:val="20"/>
                  </w:rPr>
                  <w:t>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424445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2444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424445">
                  <w:rPr>
                    <w:rFonts w:ascii="Times New Roman" w:hAnsi="Times New Roman"/>
                    <w:sz w:val="20"/>
                  </w:rPr>
                  <w:t>2</w:t>
                </w:r>
                <w:r w:rsidR="002E38C5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424445">
                  <w:rPr>
                    <w:rFonts w:ascii="Times New Roman" w:hAnsi="Times New Roman"/>
                    <w:sz w:val="20"/>
                  </w:rPr>
                  <w:t>6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424445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A66FF3">
                  <w:rPr>
                    <w:rFonts w:ascii="Times New Roman" w:hAnsi="Times New Roman"/>
                    <w:noProof/>
                    <w:sz w:val="20"/>
                  </w:rPr>
                  <w:t>25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5CE"/>
    <w:rsid w:val="00015A80"/>
    <w:rsid w:val="0002389A"/>
    <w:rsid w:val="00024105"/>
    <w:rsid w:val="0003098F"/>
    <w:rsid w:val="0003303D"/>
    <w:rsid w:val="000377D8"/>
    <w:rsid w:val="00037EBA"/>
    <w:rsid w:val="000503D1"/>
    <w:rsid w:val="000620BE"/>
    <w:rsid w:val="00074B43"/>
    <w:rsid w:val="0008336D"/>
    <w:rsid w:val="00084D3B"/>
    <w:rsid w:val="00086369"/>
    <w:rsid w:val="00091575"/>
    <w:rsid w:val="0009739B"/>
    <w:rsid w:val="000C2877"/>
    <w:rsid w:val="000D0439"/>
    <w:rsid w:val="000D191F"/>
    <w:rsid w:val="000D6F55"/>
    <w:rsid w:val="000E50C1"/>
    <w:rsid w:val="000E6D09"/>
    <w:rsid w:val="000F30B1"/>
    <w:rsid w:val="000F63EE"/>
    <w:rsid w:val="00100B3B"/>
    <w:rsid w:val="00111C59"/>
    <w:rsid w:val="001126BB"/>
    <w:rsid w:val="00120539"/>
    <w:rsid w:val="00120EC7"/>
    <w:rsid w:val="001214F5"/>
    <w:rsid w:val="00121FC1"/>
    <w:rsid w:val="001233D6"/>
    <w:rsid w:val="00132851"/>
    <w:rsid w:val="001376CF"/>
    <w:rsid w:val="0014021C"/>
    <w:rsid w:val="0014427E"/>
    <w:rsid w:val="0014555C"/>
    <w:rsid w:val="001503A7"/>
    <w:rsid w:val="001541A5"/>
    <w:rsid w:val="001541D5"/>
    <w:rsid w:val="00157300"/>
    <w:rsid w:val="00163A2D"/>
    <w:rsid w:val="00166FDB"/>
    <w:rsid w:val="001760E5"/>
    <w:rsid w:val="001819B0"/>
    <w:rsid w:val="001831C9"/>
    <w:rsid w:val="001858F7"/>
    <w:rsid w:val="001C7B3E"/>
    <w:rsid w:val="001D474C"/>
    <w:rsid w:val="001D4967"/>
    <w:rsid w:val="001E13FA"/>
    <w:rsid w:val="001E36E4"/>
    <w:rsid w:val="001E4F56"/>
    <w:rsid w:val="001F309B"/>
    <w:rsid w:val="001F3F43"/>
    <w:rsid w:val="001F7132"/>
    <w:rsid w:val="00205092"/>
    <w:rsid w:val="00207272"/>
    <w:rsid w:val="00210225"/>
    <w:rsid w:val="00210B59"/>
    <w:rsid w:val="00211A66"/>
    <w:rsid w:val="002124DC"/>
    <w:rsid w:val="00212C21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82D08"/>
    <w:rsid w:val="00282DF7"/>
    <w:rsid w:val="002830AD"/>
    <w:rsid w:val="0028490E"/>
    <w:rsid w:val="00286428"/>
    <w:rsid w:val="0029309F"/>
    <w:rsid w:val="00296DAB"/>
    <w:rsid w:val="002A3BD8"/>
    <w:rsid w:val="002B25A7"/>
    <w:rsid w:val="002E2F99"/>
    <w:rsid w:val="002E38C5"/>
    <w:rsid w:val="002E3BA8"/>
    <w:rsid w:val="002F5AAC"/>
    <w:rsid w:val="00300997"/>
    <w:rsid w:val="003269EC"/>
    <w:rsid w:val="00332FDF"/>
    <w:rsid w:val="003453A9"/>
    <w:rsid w:val="0035322A"/>
    <w:rsid w:val="003549CF"/>
    <w:rsid w:val="00355B36"/>
    <w:rsid w:val="00355C5F"/>
    <w:rsid w:val="00360C1E"/>
    <w:rsid w:val="00363495"/>
    <w:rsid w:val="00363665"/>
    <w:rsid w:val="00363D83"/>
    <w:rsid w:val="0036656D"/>
    <w:rsid w:val="00370985"/>
    <w:rsid w:val="003A4E9A"/>
    <w:rsid w:val="003B454E"/>
    <w:rsid w:val="003B6D06"/>
    <w:rsid w:val="003C3598"/>
    <w:rsid w:val="003C3FF2"/>
    <w:rsid w:val="003D04E0"/>
    <w:rsid w:val="003D55C0"/>
    <w:rsid w:val="003D672A"/>
    <w:rsid w:val="003D695C"/>
    <w:rsid w:val="003E2C18"/>
    <w:rsid w:val="003E51FD"/>
    <w:rsid w:val="003E5502"/>
    <w:rsid w:val="003E5ED9"/>
    <w:rsid w:val="003F1632"/>
    <w:rsid w:val="004031DC"/>
    <w:rsid w:val="00411549"/>
    <w:rsid w:val="004168C5"/>
    <w:rsid w:val="004174DA"/>
    <w:rsid w:val="00421C93"/>
    <w:rsid w:val="00423EF2"/>
    <w:rsid w:val="004241D0"/>
    <w:rsid w:val="00424445"/>
    <w:rsid w:val="00453FBB"/>
    <w:rsid w:val="00455FAC"/>
    <w:rsid w:val="00462AC3"/>
    <w:rsid w:val="004729F7"/>
    <w:rsid w:val="00473C1C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6E1"/>
    <w:rsid w:val="004978EC"/>
    <w:rsid w:val="004A02C8"/>
    <w:rsid w:val="004A0E07"/>
    <w:rsid w:val="004B21F3"/>
    <w:rsid w:val="004B6E4E"/>
    <w:rsid w:val="004C1EB5"/>
    <w:rsid w:val="004C6914"/>
    <w:rsid w:val="004D13CC"/>
    <w:rsid w:val="004D2993"/>
    <w:rsid w:val="004D3BD9"/>
    <w:rsid w:val="004D5BAE"/>
    <w:rsid w:val="004E2759"/>
    <w:rsid w:val="004E5750"/>
    <w:rsid w:val="00511612"/>
    <w:rsid w:val="0051699B"/>
    <w:rsid w:val="005220FC"/>
    <w:rsid w:val="005333BB"/>
    <w:rsid w:val="00540E46"/>
    <w:rsid w:val="00542EA5"/>
    <w:rsid w:val="00546EC0"/>
    <w:rsid w:val="00555312"/>
    <w:rsid w:val="005578E8"/>
    <w:rsid w:val="00561BA4"/>
    <w:rsid w:val="005707CA"/>
    <w:rsid w:val="00572B4F"/>
    <w:rsid w:val="00584587"/>
    <w:rsid w:val="005853FD"/>
    <w:rsid w:val="005860DD"/>
    <w:rsid w:val="00586A11"/>
    <w:rsid w:val="005A37D1"/>
    <w:rsid w:val="005A6F87"/>
    <w:rsid w:val="005B395F"/>
    <w:rsid w:val="005C1D34"/>
    <w:rsid w:val="005C5FC9"/>
    <w:rsid w:val="005D2324"/>
    <w:rsid w:val="005D577F"/>
    <w:rsid w:val="005E14DA"/>
    <w:rsid w:val="005E7A38"/>
    <w:rsid w:val="005E7C65"/>
    <w:rsid w:val="005F1650"/>
    <w:rsid w:val="005F26B5"/>
    <w:rsid w:val="005F289B"/>
    <w:rsid w:val="005F47B6"/>
    <w:rsid w:val="005F55C3"/>
    <w:rsid w:val="00602B62"/>
    <w:rsid w:val="00603DDE"/>
    <w:rsid w:val="00610064"/>
    <w:rsid w:val="006134FF"/>
    <w:rsid w:val="00622BB0"/>
    <w:rsid w:val="00630518"/>
    <w:rsid w:val="00636F62"/>
    <w:rsid w:val="0065393E"/>
    <w:rsid w:val="00654C1A"/>
    <w:rsid w:val="006637B6"/>
    <w:rsid w:val="0066751B"/>
    <w:rsid w:val="00675382"/>
    <w:rsid w:val="00684A21"/>
    <w:rsid w:val="00694E7F"/>
    <w:rsid w:val="006A2586"/>
    <w:rsid w:val="006A270F"/>
    <w:rsid w:val="006A7E9F"/>
    <w:rsid w:val="006C236B"/>
    <w:rsid w:val="006E4776"/>
    <w:rsid w:val="006E73A4"/>
    <w:rsid w:val="006F06F0"/>
    <w:rsid w:val="006F1A55"/>
    <w:rsid w:val="006F475A"/>
    <w:rsid w:val="006F743F"/>
    <w:rsid w:val="006F7509"/>
    <w:rsid w:val="0071097A"/>
    <w:rsid w:val="0071224B"/>
    <w:rsid w:val="00712475"/>
    <w:rsid w:val="007167A8"/>
    <w:rsid w:val="0074027D"/>
    <w:rsid w:val="0074739C"/>
    <w:rsid w:val="00747E59"/>
    <w:rsid w:val="0075364B"/>
    <w:rsid w:val="007637EC"/>
    <w:rsid w:val="00773AC1"/>
    <w:rsid w:val="0077465F"/>
    <w:rsid w:val="00784FE7"/>
    <w:rsid w:val="007A3336"/>
    <w:rsid w:val="007A4DE2"/>
    <w:rsid w:val="007D2A1D"/>
    <w:rsid w:val="007D7E58"/>
    <w:rsid w:val="007E33A3"/>
    <w:rsid w:val="007F6278"/>
    <w:rsid w:val="00800B00"/>
    <w:rsid w:val="00801B35"/>
    <w:rsid w:val="00803F80"/>
    <w:rsid w:val="00805A34"/>
    <w:rsid w:val="00810178"/>
    <w:rsid w:val="00820383"/>
    <w:rsid w:val="00825D6E"/>
    <w:rsid w:val="00830668"/>
    <w:rsid w:val="00832990"/>
    <w:rsid w:val="00840313"/>
    <w:rsid w:val="00841C19"/>
    <w:rsid w:val="00844E38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C451A"/>
    <w:rsid w:val="008D4306"/>
    <w:rsid w:val="008D6927"/>
    <w:rsid w:val="008F3D1E"/>
    <w:rsid w:val="008F716D"/>
    <w:rsid w:val="0090150B"/>
    <w:rsid w:val="00912A91"/>
    <w:rsid w:val="00915830"/>
    <w:rsid w:val="00917166"/>
    <w:rsid w:val="0093290E"/>
    <w:rsid w:val="00934E4E"/>
    <w:rsid w:val="00951E1D"/>
    <w:rsid w:val="00961ABE"/>
    <w:rsid w:val="00965311"/>
    <w:rsid w:val="0097135A"/>
    <w:rsid w:val="00971586"/>
    <w:rsid w:val="009826E8"/>
    <w:rsid w:val="00986F8A"/>
    <w:rsid w:val="00987CE9"/>
    <w:rsid w:val="00994540"/>
    <w:rsid w:val="00995773"/>
    <w:rsid w:val="009A3A11"/>
    <w:rsid w:val="009A4E8D"/>
    <w:rsid w:val="009A65B7"/>
    <w:rsid w:val="009B2214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57B2"/>
    <w:rsid w:val="009F6AAA"/>
    <w:rsid w:val="009F7DF5"/>
    <w:rsid w:val="00A054C6"/>
    <w:rsid w:val="00A11B88"/>
    <w:rsid w:val="00A16E0D"/>
    <w:rsid w:val="00A27902"/>
    <w:rsid w:val="00A30CE6"/>
    <w:rsid w:val="00A364D8"/>
    <w:rsid w:val="00A41298"/>
    <w:rsid w:val="00A5722D"/>
    <w:rsid w:val="00A577EE"/>
    <w:rsid w:val="00A66FF3"/>
    <w:rsid w:val="00A70B49"/>
    <w:rsid w:val="00A73790"/>
    <w:rsid w:val="00A73B7E"/>
    <w:rsid w:val="00A75A0C"/>
    <w:rsid w:val="00A84A23"/>
    <w:rsid w:val="00AA1E19"/>
    <w:rsid w:val="00AA4AD0"/>
    <w:rsid w:val="00AB6053"/>
    <w:rsid w:val="00AB6054"/>
    <w:rsid w:val="00AC7301"/>
    <w:rsid w:val="00AD3421"/>
    <w:rsid w:val="00AD363A"/>
    <w:rsid w:val="00AD3B79"/>
    <w:rsid w:val="00AF0B00"/>
    <w:rsid w:val="00AF123A"/>
    <w:rsid w:val="00B01C13"/>
    <w:rsid w:val="00B023E9"/>
    <w:rsid w:val="00B02BC2"/>
    <w:rsid w:val="00B03715"/>
    <w:rsid w:val="00B05D9A"/>
    <w:rsid w:val="00B14DD8"/>
    <w:rsid w:val="00B17EFE"/>
    <w:rsid w:val="00B23B53"/>
    <w:rsid w:val="00B27C17"/>
    <w:rsid w:val="00B3136F"/>
    <w:rsid w:val="00B3309E"/>
    <w:rsid w:val="00B41067"/>
    <w:rsid w:val="00B4298B"/>
    <w:rsid w:val="00B4364F"/>
    <w:rsid w:val="00B44136"/>
    <w:rsid w:val="00B45593"/>
    <w:rsid w:val="00B45D9E"/>
    <w:rsid w:val="00B5604B"/>
    <w:rsid w:val="00B63E6F"/>
    <w:rsid w:val="00B6462F"/>
    <w:rsid w:val="00B82677"/>
    <w:rsid w:val="00B86C39"/>
    <w:rsid w:val="00B9235C"/>
    <w:rsid w:val="00B942B5"/>
    <w:rsid w:val="00B9491F"/>
    <w:rsid w:val="00B95528"/>
    <w:rsid w:val="00B9563B"/>
    <w:rsid w:val="00B960E7"/>
    <w:rsid w:val="00B96A9A"/>
    <w:rsid w:val="00BA2321"/>
    <w:rsid w:val="00BA75E4"/>
    <w:rsid w:val="00BB5D16"/>
    <w:rsid w:val="00BB5EEC"/>
    <w:rsid w:val="00BB7275"/>
    <w:rsid w:val="00BC111B"/>
    <w:rsid w:val="00BC56EF"/>
    <w:rsid w:val="00BD1FD9"/>
    <w:rsid w:val="00BE4E42"/>
    <w:rsid w:val="00BE5C37"/>
    <w:rsid w:val="00BE6852"/>
    <w:rsid w:val="00BF4B3C"/>
    <w:rsid w:val="00C03835"/>
    <w:rsid w:val="00C0527F"/>
    <w:rsid w:val="00C14230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B1133"/>
    <w:rsid w:val="00CB230E"/>
    <w:rsid w:val="00CD093C"/>
    <w:rsid w:val="00CD222C"/>
    <w:rsid w:val="00CD3A4C"/>
    <w:rsid w:val="00CE0017"/>
    <w:rsid w:val="00CE1A3F"/>
    <w:rsid w:val="00CE2BBA"/>
    <w:rsid w:val="00CE2D21"/>
    <w:rsid w:val="00CE468D"/>
    <w:rsid w:val="00CF2045"/>
    <w:rsid w:val="00CF4C42"/>
    <w:rsid w:val="00D06A23"/>
    <w:rsid w:val="00D0799C"/>
    <w:rsid w:val="00D13A70"/>
    <w:rsid w:val="00D32712"/>
    <w:rsid w:val="00D32DC7"/>
    <w:rsid w:val="00D46043"/>
    <w:rsid w:val="00D52E52"/>
    <w:rsid w:val="00D53045"/>
    <w:rsid w:val="00D61D25"/>
    <w:rsid w:val="00D61FED"/>
    <w:rsid w:val="00D6210A"/>
    <w:rsid w:val="00D66A0B"/>
    <w:rsid w:val="00D670F3"/>
    <w:rsid w:val="00D87E10"/>
    <w:rsid w:val="00D910B7"/>
    <w:rsid w:val="00D92DE8"/>
    <w:rsid w:val="00D9385E"/>
    <w:rsid w:val="00DB7463"/>
    <w:rsid w:val="00DC504C"/>
    <w:rsid w:val="00DD1ACA"/>
    <w:rsid w:val="00DE3458"/>
    <w:rsid w:val="00DF4268"/>
    <w:rsid w:val="00DF7D22"/>
    <w:rsid w:val="00E01F2A"/>
    <w:rsid w:val="00E142C3"/>
    <w:rsid w:val="00E21264"/>
    <w:rsid w:val="00E21488"/>
    <w:rsid w:val="00E45249"/>
    <w:rsid w:val="00E4634E"/>
    <w:rsid w:val="00E556F4"/>
    <w:rsid w:val="00E60609"/>
    <w:rsid w:val="00E92D10"/>
    <w:rsid w:val="00EA4232"/>
    <w:rsid w:val="00EB54FC"/>
    <w:rsid w:val="00EB5EC2"/>
    <w:rsid w:val="00EC304F"/>
    <w:rsid w:val="00EC6B66"/>
    <w:rsid w:val="00ED11CA"/>
    <w:rsid w:val="00ED1557"/>
    <w:rsid w:val="00ED337D"/>
    <w:rsid w:val="00ED47ED"/>
    <w:rsid w:val="00ED5C7B"/>
    <w:rsid w:val="00EE33EB"/>
    <w:rsid w:val="00EE3A31"/>
    <w:rsid w:val="00EE3DE5"/>
    <w:rsid w:val="00EF07B0"/>
    <w:rsid w:val="00EF2BD9"/>
    <w:rsid w:val="00F03F7F"/>
    <w:rsid w:val="00F13D78"/>
    <w:rsid w:val="00F23EE5"/>
    <w:rsid w:val="00F242DB"/>
    <w:rsid w:val="00F26833"/>
    <w:rsid w:val="00F34FB4"/>
    <w:rsid w:val="00F36822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68E2"/>
    <w:rsid w:val="00F97875"/>
    <w:rsid w:val="00FA1604"/>
    <w:rsid w:val="00FC08C7"/>
    <w:rsid w:val="00FC7036"/>
    <w:rsid w:val="00FD09EE"/>
    <w:rsid w:val="00FD3EA6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09C2-D807-491C-A3FA-E0298FA5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Claro S.A.</vt:lpstr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Claro S.A.</dc:title>
  <dc:creator>Jilson Torres da Silva</dc:creator>
  <dc:description>FEEF. Dispensa. Incremento na Arrecadação.  Comparação. Trimestre do Ano Anterior. Período de Referência: Mês de Competência.</dc:description>
  <cp:lastModifiedBy>Thereza Marina Cunha M. Cunha</cp:lastModifiedBy>
  <cp:revision>3</cp:revision>
  <cp:lastPrinted>2017-08-10T17:11:00Z</cp:lastPrinted>
  <dcterms:created xsi:type="dcterms:W3CDTF">2017-10-04T21:11:00Z</dcterms:created>
  <dcterms:modified xsi:type="dcterms:W3CDTF">2017-10-04T21:19:00Z</dcterms:modified>
  <cp:category>E04-0792441-17</cp:category>
</cp:coreProperties>
</file>