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5D5980" w:rsidP="005D5980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 w:rsidRPr="00B51BB0">
              <w:rPr>
                <w:rFonts w:ascii="Times New Roman" w:hAnsi="Times New Roman"/>
                <w:szCs w:val="22"/>
              </w:rPr>
              <w:t>Transferência I</w:t>
            </w:r>
            <w:r w:rsidR="006C519C" w:rsidRPr="00B51BB0">
              <w:rPr>
                <w:rFonts w:ascii="Times New Roman" w:hAnsi="Times New Roman"/>
                <w:szCs w:val="22"/>
              </w:rPr>
              <w:t xml:space="preserve">nterestadual </w:t>
            </w:r>
            <w:r w:rsidR="00CA7069" w:rsidRPr="00B51BB0">
              <w:rPr>
                <w:rFonts w:ascii="Times New Roman" w:hAnsi="Times New Roman"/>
                <w:szCs w:val="22"/>
              </w:rPr>
              <w:t>para Industrialização com Subsequente Exportação sem Retorno ao Estabelecimento</w:t>
            </w:r>
            <w:r w:rsidRPr="00B51BB0">
              <w:rPr>
                <w:rFonts w:ascii="Times New Roman" w:hAnsi="Times New Roman"/>
                <w:szCs w:val="22"/>
              </w:rPr>
              <w:t xml:space="preserve"> de Origem</w:t>
            </w:r>
            <w:bookmarkEnd w:id="0"/>
            <w:bookmarkEnd w:id="1"/>
            <w:r w:rsidR="00CA706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F34FB4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</w:t>
            </w:r>
            <w:r w:rsidR="00CC3571">
              <w:rPr>
                <w:rFonts w:ascii="Times New Roman" w:hAnsi="Times New Roman"/>
                <w:szCs w:val="22"/>
              </w:rPr>
              <w:t>.</w:t>
            </w:r>
            <w:r w:rsidRPr="006F06F0">
              <w:rPr>
                <w:rFonts w:ascii="Times New Roman" w:hAnsi="Times New Roman"/>
                <w:szCs w:val="22"/>
              </w:rPr>
              <w:t>º</w:t>
            </w:r>
            <w:r w:rsidR="00CC3571">
              <w:rPr>
                <w:rFonts w:ascii="Times New Roman" w:hAnsi="Times New Roman"/>
                <w:szCs w:val="22"/>
              </w:rPr>
              <w:t xml:space="preserve"> 009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3D1D68">
              <w:rPr>
                <w:rFonts w:ascii="Times New Roman" w:hAnsi="Times New Roman"/>
                <w:szCs w:val="22"/>
              </w:rPr>
              <w:t>6</w:t>
            </w:r>
          </w:p>
          <w:p w:rsidR="009D1501" w:rsidRPr="006F06F0" w:rsidRDefault="009D1501" w:rsidP="00FE2C74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840313" w:rsidRPr="006F06F0" w:rsidRDefault="00840313" w:rsidP="00610064">
      <w:pPr>
        <w:spacing w:after="0" w:line="360" w:lineRule="auto"/>
        <w:ind w:right="-852" w:firstLine="709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1E13FA">
        <w:rPr>
          <w:rFonts w:ascii="Times New Roman" w:hAnsi="Times New Roman" w:cs="Times New Roman"/>
          <w:b/>
          <w:smallCaps/>
        </w:rPr>
        <w:t>R</w:t>
      </w:r>
      <w:r w:rsidR="001E13FA" w:rsidRPr="001E13FA">
        <w:rPr>
          <w:rFonts w:ascii="Times New Roman" w:hAnsi="Times New Roman" w:cs="Times New Roman"/>
          <w:b/>
          <w:smallCaps/>
        </w:rPr>
        <w:t>elatório</w:t>
      </w:r>
      <w:r w:rsidR="001E13FA">
        <w:rPr>
          <w:rFonts w:ascii="Times New Roman" w:hAnsi="Times New Roman" w:cs="Times New Roman"/>
          <w:b/>
          <w:smallCaps/>
        </w:rPr>
        <w:t>:</w:t>
      </w:r>
    </w:p>
    <w:p w:rsidR="00CA7069" w:rsidRDefault="00CA7069" w:rsidP="00423743">
      <w:pPr>
        <w:ind w:right="-994"/>
        <w:jc w:val="both"/>
        <w:rPr>
          <w:lang w:eastAsia="pt-BR"/>
        </w:rPr>
      </w:pPr>
    </w:p>
    <w:p w:rsidR="00E55A5F" w:rsidRPr="00255207" w:rsidRDefault="00DB65DA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lang w:eastAsia="pt-BR"/>
        </w:rPr>
        <w:tab/>
      </w:r>
      <w:r w:rsidRPr="00255207">
        <w:rPr>
          <w:rFonts w:ascii="Times New Roman" w:hAnsi="Times New Roman" w:cs="Times New Roman"/>
          <w:lang w:eastAsia="pt-BR"/>
        </w:rPr>
        <w:t xml:space="preserve">A empresa </w:t>
      </w:r>
      <w:r w:rsidR="00E55A5F" w:rsidRPr="00255207">
        <w:rPr>
          <w:rFonts w:ascii="Times New Roman" w:hAnsi="Times New Roman" w:cs="Times New Roman"/>
          <w:lang w:eastAsia="pt-BR"/>
        </w:rPr>
        <w:t>informa na inicial que opera na moagem de milho, mandioca e outros vegetais apropriados, para a fa</w:t>
      </w:r>
      <w:r w:rsidR="00423743" w:rsidRPr="00255207">
        <w:rPr>
          <w:rFonts w:ascii="Times New Roman" w:hAnsi="Times New Roman" w:cs="Times New Roman"/>
          <w:lang w:eastAsia="pt-BR"/>
        </w:rPr>
        <w:t>brica</w:t>
      </w:r>
      <w:r w:rsidR="00E55A5F" w:rsidRPr="00255207">
        <w:rPr>
          <w:rFonts w:ascii="Times New Roman" w:hAnsi="Times New Roman" w:cs="Times New Roman"/>
          <w:lang w:eastAsia="pt-BR"/>
        </w:rPr>
        <w:t xml:space="preserve">ção de amidos, féculas, glicoses, dextrinas, </w:t>
      </w:r>
      <w:proofErr w:type="spellStart"/>
      <w:r w:rsidR="00E55A5F" w:rsidRPr="00255207">
        <w:rPr>
          <w:rFonts w:ascii="Times New Roman" w:hAnsi="Times New Roman" w:cs="Times New Roman"/>
          <w:lang w:eastAsia="pt-BR"/>
        </w:rPr>
        <w:t>maltodextrinas</w:t>
      </w:r>
      <w:proofErr w:type="spellEnd"/>
      <w:r w:rsidR="00E55A5F" w:rsidRPr="00255207">
        <w:rPr>
          <w:rFonts w:ascii="Times New Roman" w:hAnsi="Times New Roman" w:cs="Times New Roman"/>
          <w:lang w:eastAsia="pt-BR"/>
        </w:rPr>
        <w:t xml:space="preserve">, óleos e outras substâncias similares e de outros produtos e subprodutos </w:t>
      </w:r>
      <w:r w:rsidR="00DC075B" w:rsidRPr="00255207">
        <w:rPr>
          <w:rFonts w:ascii="Times New Roman" w:hAnsi="Times New Roman" w:cs="Times New Roman"/>
          <w:lang w:eastAsia="pt-BR"/>
        </w:rPr>
        <w:t>dos mesmos e quaisquer misturas ou compostos para alimento ou para fins industriais.</w:t>
      </w:r>
    </w:p>
    <w:p w:rsidR="00DB65DA" w:rsidRPr="00255207" w:rsidRDefault="00DC075B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  <w:t xml:space="preserve">A consulente </w:t>
      </w:r>
      <w:r w:rsidR="00423743" w:rsidRPr="00255207">
        <w:rPr>
          <w:rFonts w:ascii="Times New Roman" w:hAnsi="Times New Roman" w:cs="Times New Roman"/>
          <w:lang w:eastAsia="pt-BR"/>
        </w:rPr>
        <w:t xml:space="preserve">objetiva saber se poderá realizar entrega por conta e ordem com finalidade de exportação </w:t>
      </w:r>
      <w:proofErr w:type="gramStart"/>
      <w:r w:rsidR="00423743" w:rsidRPr="00255207">
        <w:rPr>
          <w:rFonts w:ascii="Times New Roman" w:hAnsi="Times New Roman" w:cs="Times New Roman"/>
          <w:lang w:eastAsia="pt-BR"/>
        </w:rPr>
        <w:t>à</w:t>
      </w:r>
      <w:proofErr w:type="gramEnd"/>
      <w:r w:rsidR="00423743" w:rsidRPr="00255207">
        <w:rPr>
          <w:rFonts w:ascii="Times New Roman" w:hAnsi="Times New Roman" w:cs="Times New Roman"/>
          <w:lang w:eastAsia="pt-BR"/>
        </w:rPr>
        <w:t xml:space="preserve"> clientes e entre empresas do mesmo grupo, onde haverá faturamento pela planta</w:t>
      </w:r>
      <w:r w:rsidR="0052688F">
        <w:rPr>
          <w:rFonts w:ascii="Times New Roman" w:hAnsi="Times New Roman" w:cs="Times New Roman"/>
          <w:lang w:eastAsia="pt-BR"/>
        </w:rPr>
        <w:t xml:space="preserve"> </w:t>
      </w:r>
      <w:r w:rsidR="00423743" w:rsidRPr="00255207">
        <w:rPr>
          <w:rFonts w:ascii="Times New Roman" w:hAnsi="Times New Roman" w:cs="Times New Roman"/>
          <w:lang w:eastAsia="pt-BR"/>
        </w:rPr>
        <w:t>emitente da matéria prima base, localizada no Estado de São Paulo, para industrialização na planta localizada no Estado do Rio de Janeiro, e, por razões de logística, embarcado por conta e ordem para exportação do produto final “Manitol”</w:t>
      </w:r>
      <w:r w:rsidRPr="00255207">
        <w:rPr>
          <w:rFonts w:ascii="Times New Roman" w:hAnsi="Times New Roman" w:cs="Times New Roman"/>
          <w:lang w:eastAsia="pt-BR"/>
        </w:rPr>
        <w:t xml:space="preserve">, NCM 2905.43.00, </w:t>
      </w:r>
      <w:r w:rsidR="00423743" w:rsidRPr="00255207">
        <w:rPr>
          <w:rFonts w:ascii="Times New Roman" w:hAnsi="Times New Roman" w:cs="Times New Roman"/>
          <w:lang w:eastAsia="pt-BR"/>
        </w:rPr>
        <w:t>através do Porto do Rio de Janeiro.</w:t>
      </w:r>
    </w:p>
    <w:p w:rsidR="00DC075B" w:rsidRPr="00255207" w:rsidRDefault="00DC075B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  <w:t>Informa que suas matérias primas com base “milho” (xarope de glicose), comercializadas como “Dextrose líquida GR-RD671” e “Dextrose líquida GR-RD738”, NCM 1702.30.20, são produzidas em larga escala na planta Mogi Guaçu, localizada no Estado de São Paulo.</w:t>
      </w:r>
    </w:p>
    <w:p w:rsidR="00DC075B" w:rsidRPr="00255207" w:rsidRDefault="00DC075B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  <w:t xml:space="preserve">Dessa forma, </w:t>
      </w:r>
      <w:r w:rsidR="000C75E3" w:rsidRPr="00255207">
        <w:rPr>
          <w:rFonts w:ascii="Times New Roman" w:hAnsi="Times New Roman" w:cs="Times New Roman"/>
          <w:lang w:eastAsia="pt-BR"/>
        </w:rPr>
        <w:t>pretende a consulente, após elaboraç</w:t>
      </w:r>
      <w:r w:rsidR="003B51A6" w:rsidRPr="00255207">
        <w:rPr>
          <w:rFonts w:ascii="Times New Roman" w:hAnsi="Times New Roman" w:cs="Times New Roman"/>
          <w:lang w:eastAsia="pt-BR"/>
        </w:rPr>
        <w:t>ão do produto final “Manitol” pela planta de São Gonçalo – RJ, a partir de matéria prima oriunda da planta Mogi Guaçu, por questões de logística, o produto final será transferido simbolicamente para São Paulo para o faturamento e exportação, porém, sendo embarcado no Porto do Estado do Rio de Janeiro por conta e ordem da planta Mogi Guaçu.</w:t>
      </w:r>
    </w:p>
    <w:p w:rsidR="005372E4" w:rsidRDefault="003B51A6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</w:r>
      <w:r w:rsidR="00A52AB8" w:rsidRPr="00255207">
        <w:rPr>
          <w:rFonts w:ascii="Times New Roman" w:hAnsi="Times New Roman" w:cs="Times New Roman"/>
          <w:lang w:eastAsia="pt-BR"/>
        </w:rPr>
        <w:t>Ressalva a consulente que o produto final “Manitol”, NCM 2905.43.00, representa hoje</w:t>
      </w:r>
      <w:r w:rsidR="005372E4">
        <w:rPr>
          <w:rFonts w:ascii="Times New Roman" w:hAnsi="Times New Roman" w:cs="Times New Roman"/>
          <w:lang w:eastAsia="pt-BR"/>
        </w:rPr>
        <w:t xml:space="preserve">, em média, </w:t>
      </w:r>
      <w:r w:rsidR="00A52AB8" w:rsidRPr="00255207">
        <w:rPr>
          <w:rFonts w:ascii="Times New Roman" w:hAnsi="Times New Roman" w:cs="Times New Roman"/>
          <w:lang w:eastAsia="pt-BR"/>
        </w:rPr>
        <w:t xml:space="preserve">um volume de vendas no mercado interno de 58 </w:t>
      </w:r>
      <w:proofErr w:type="spellStart"/>
      <w:r w:rsidR="00A52AB8" w:rsidRPr="00255207">
        <w:rPr>
          <w:rFonts w:ascii="Times New Roman" w:hAnsi="Times New Roman" w:cs="Times New Roman"/>
          <w:lang w:eastAsia="pt-BR"/>
        </w:rPr>
        <w:t>ton</w:t>
      </w:r>
      <w:proofErr w:type="spellEnd"/>
      <w:r w:rsidR="00A52AB8" w:rsidRPr="00255207">
        <w:rPr>
          <w:rFonts w:ascii="Times New Roman" w:hAnsi="Times New Roman" w:cs="Times New Roman"/>
          <w:lang w:eastAsia="pt-BR"/>
        </w:rPr>
        <w:t>/mês e</w:t>
      </w:r>
      <w:r w:rsidR="00FF3CEE">
        <w:rPr>
          <w:rFonts w:ascii="Times New Roman" w:hAnsi="Times New Roman" w:cs="Times New Roman"/>
          <w:lang w:eastAsia="pt-BR"/>
        </w:rPr>
        <w:t>,</w:t>
      </w:r>
      <w:r w:rsidR="00A52AB8" w:rsidRPr="00255207">
        <w:rPr>
          <w:rFonts w:ascii="Times New Roman" w:hAnsi="Times New Roman" w:cs="Times New Roman"/>
          <w:lang w:eastAsia="pt-BR"/>
        </w:rPr>
        <w:t xml:space="preserve"> para exportação pelo Estado do Rio de Janeiro</w:t>
      </w:r>
      <w:r w:rsidR="00FF3CEE">
        <w:rPr>
          <w:rFonts w:ascii="Times New Roman" w:hAnsi="Times New Roman" w:cs="Times New Roman"/>
          <w:lang w:eastAsia="pt-BR"/>
        </w:rPr>
        <w:t>,</w:t>
      </w:r>
      <w:r w:rsidR="00A52AB8" w:rsidRPr="00255207">
        <w:rPr>
          <w:rFonts w:ascii="Times New Roman" w:hAnsi="Times New Roman" w:cs="Times New Roman"/>
          <w:lang w:eastAsia="pt-BR"/>
        </w:rPr>
        <w:t xml:space="preserve"> </w:t>
      </w:r>
      <w:r w:rsidR="00FF3CEE">
        <w:rPr>
          <w:rFonts w:ascii="Times New Roman" w:hAnsi="Times New Roman" w:cs="Times New Roman"/>
          <w:lang w:eastAsia="pt-BR"/>
        </w:rPr>
        <w:t xml:space="preserve">um </w:t>
      </w:r>
      <w:r w:rsidR="00A52AB8" w:rsidRPr="00255207">
        <w:rPr>
          <w:rFonts w:ascii="Times New Roman" w:hAnsi="Times New Roman" w:cs="Times New Roman"/>
          <w:lang w:eastAsia="pt-BR"/>
        </w:rPr>
        <w:t xml:space="preserve">volume de 297 </w:t>
      </w:r>
      <w:proofErr w:type="spellStart"/>
      <w:r w:rsidR="00A52AB8" w:rsidRPr="00255207">
        <w:rPr>
          <w:rFonts w:ascii="Times New Roman" w:hAnsi="Times New Roman" w:cs="Times New Roman"/>
          <w:lang w:eastAsia="pt-BR"/>
        </w:rPr>
        <w:t>ton</w:t>
      </w:r>
      <w:proofErr w:type="spellEnd"/>
      <w:r w:rsidR="00A52AB8" w:rsidRPr="00255207">
        <w:rPr>
          <w:rFonts w:ascii="Times New Roman" w:hAnsi="Times New Roman" w:cs="Times New Roman"/>
          <w:lang w:eastAsia="pt-BR"/>
        </w:rPr>
        <w:t>/mês, ou seja, a média de vendas do “Manitol” para exportação corresponde a 83% de toda a produção realizada pela planta localiz</w:t>
      </w:r>
      <w:r w:rsidR="00255207">
        <w:rPr>
          <w:rFonts w:ascii="Times New Roman" w:hAnsi="Times New Roman" w:cs="Times New Roman"/>
          <w:lang w:eastAsia="pt-BR"/>
        </w:rPr>
        <w:t>ada no Estado do Rio de Janeiro</w:t>
      </w:r>
      <w:r w:rsidR="005372E4">
        <w:rPr>
          <w:rFonts w:ascii="Times New Roman" w:hAnsi="Times New Roman" w:cs="Times New Roman"/>
          <w:lang w:eastAsia="pt-BR"/>
        </w:rPr>
        <w:t>.</w:t>
      </w:r>
    </w:p>
    <w:p w:rsidR="008036E7" w:rsidRDefault="00A52AB8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  <w:t>Às fls. 07, a consulente apresenta quadro demonstrativo do fluxograma das operações</w:t>
      </w:r>
      <w:r w:rsidR="00CD4C62" w:rsidRPr="00255207">
        <w:rPr>
          <w:rFonts w:ascii="Times New Roman" w:hAnsi="Times New Roman" w:cs="Times New Roman"/>
          <w:lang w:eastAsia="pt-BR"/>
        </w:rPr>
        <w:t xml:space="preserve"> sugeridas, com os respectivos </w:t>
      </w:r>
      <w:proofErr w:type="spellStart"/>
      <w:r w:rsidR="00CD4C62" w:rsidRPr="00255207">
        <w:rPr>
          <w:rFonts w:ascii="Times New Roman" w:hAnsi="Times New Roman" w:cs="Times New Roman"/>
          <w:lang w:eastAsia="pt-BR"/>
        </w:rPr>
        <w:t>CFOPs</w:t>
      </w:r>
      <w:proofErr w:type="spellEnd"/>
      <w:r w:rsidR="006C519C">
        <w:rPr>
          <w:rFonts w:ascii="Times New Roman" w:hAnsi="Times New Roman" w:cs="Times New Roman"/>
          <w:lang w:eastAsia="pt-BR"/>
        </w:rPr>
        <w:t xml:space="preserve">  que, e</w:t>
      </w:r>
      <w:r w:rsidR="008036E7" w:rsidRPr="008036E7">
        <w:rPr>
          <w:rFonts w:ascii="Times New Roman" w:hAnsi="Times New Roman" w:cs="Times New Roman"/>
          <w:lang w:eastAsia="pt-BR"/>
        </w:rPr>
        <w:t xml:space="preserve">m </w:t>
      </w:r>
      <w:r w:rsidR="00255207" w:rsidRPr="008036E7">
        <w:rPr>
          <w:rFonts w:ascii="Times New Roman" w:hAnsi="Times New Roman" w:cs="Times New Roman"/>
          <w:lang w:eastAsia="pt-BR"/>
        </w:rPr>
        <w:t>resumo</w:t>
      </w:r>
      <w:r w:rsidR="008036E7" w:rsidRPr="008036E7">
        <w:rPr>
          <w:rFonts w:ascii="Times New Roman" w:hAnsi="Times New Roman" w:cs="Times New Roman"/>
          <w:lang w:eastAsia="pt-BR"/>
        </w:rPr>
        <w:t xml:space="preserve">, </w:t>
      </w:r>
      <w:r w:rsidR="006C519C">
        <w:rPr>
          <w:rFonts w:ascii="Times New Roman" w:hAnsi="Times New Roman" w:cs="Times New Roman"/>
          <w:lang w:eastAsia="pt-BR"/>
        </w:rPr>
        <w:t xml:space="preserve">são indicadas </w:t>
      </w:r>
      <w:r w:rsidR="008036E7">
        <w:rPr>
          <w:rFonts w:ascii="Times New Roman" w:hAnsi="Times New Roman" w:cs="Times New Roman"/>
          <w:lang w:eastAsia="pt-BR"/>
        </w:rPr>
        <w:t>as seguintes operações:</w:t>
      </w:r>
    </w:p>
    <w:p w:rsidR="008036E7" w:rsidRDefault="008036E7" w:rsidP="00CA7069">
      <w:pPr>
        <w:spacing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lastRenderedPageBreak/>
        <w:t>1º)</w:t>
      </w:r>
      <w:proofErr w:type="gramEnd"/>
      <w:r>
        <w:rPr>
          <w:rFonts w:ascii="Times New Roman" w:hAnsi="Times New Roman" w:cs="Times New Roman"/>
          <w:lang w:eastAsia="pt-BR"/>
        </w:rPr>
        <w:t xml:space="preserve">  T</w:t>
      </w:r>
      <w:r w:rsidRPr="008036E7">
        <w:rPr>
          <w:rFonts w:ascii="Times New Roman" w:hAnsi="Times New Roman" w:cs="Times New Roman"/>
          <w:lang w:eastAsia="pt-BR"/>
        </w:rPr>
        <w:t xml:space="preserve">ransferência da base milho (RD 671 e RD 738) </w:t>
      </w:r>
      <w:r>
        <w:rPr>
          <w:rFonts w:ascii="Times New Roman" w:hAnsi="Times New Roman" w:cs="Times New Roman"/>
          <w:lang w:eastAsia="pt-BR"/>
        </w:rPr>
        <w:t>d</w:t>
      </w:r>
      <w:r w:rsidR="00A5548B">
        <w:rPr>
          <w:rFonts w:ascii="Times New Roman" w:hAnsi="Times New Roman" w:cs="Times New Roman"/>
          <w:lang w:eastAsia="pt-BR"/>
        </w:rPr>
        <w:t xml:space="preserve">o estabelecimento em </w:t>
      </w:r>
      <w:r w:rsidRPr="008036E7">
        <w:rPr>
          <w:rFonts w:ascii="Times New Roman" w:hAnsi="Times New Roman" w:cs="Times New Roman"/>
          <w:lang w:eastAsia="pt-BR"/>
        </w:rPr>
        <w:t>Mogi</w:t>
      </w:r>
      <w:r>
        <w:rPr>
          <w:rFonts w:ascii="Times New Roman" w:hAnsi="Times New Roman" w:cs="Times New Roman"/>
          <w:lang w:eastAsia="pt-BR"/>
        </w:rPr>
        <w:t xml:space="preserve"> Guaçu - SP para o estabelecimento da consulente em São Gonçalo – RJ, com CFOP 6.151, à alíquota de 12%</w:t>
      </w:r>
      <w:r w:rsidR="00BC29DD">
        <w:rPr>
          <w:rFonts w:ascii="Times New Roman" w:hAnsi="Times New Roman" w:cs="Times New Roman"/>
          <w:lang w:eastAsia="pt-BR"/>
        </w:rPr>
        <w:t xml:space="preserve">, com crédito do ICMS a favor do estabelecimento </w:t>
      </w:r>
      <w:r w:rsidR="009A6285">
        <w:rPr>
          <w:rFonts w:ascii="Times New Roman" w:hAnsi="Times New Roman" w:cs="Times New Roman"/>
          <w:lang w:eastAsia="pt-BR"/>
        </w:rPr>
        <w:t>fluminense.</w:t>
      </w:r>
    </w:p>
    <w:p w:rsidR="008036E7" w:rsidRDefault="008036E7" w:rsidP="00CA7069">
      <w:pPr>
        <w:spacing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t>2º)</w:t>
      </w:r>
      <w:proofErr w:type="gramEnd"/>
      <w:r>
        <w:rPr>
          <w:rFonts w:ascii="Times New Roman" w:hAnsi="Times New Roman" w:cs="Times New Roman"/>
          <w:lang w:eastAsia="pt-BR"/>
        </w:rPr>
        <w:t xml:space="preserve"> Transferência do produto final “manitol” entre os mesmos estabelecimento, do Rio para São Paulo, com CFOP 6.151, à alíquota </w:t>
      </w:r>
      <w:r w:rsidR="00BC29DD">
        <w:rPr>
          <w:rFonts w:ascii="Times New Roman" w:hAnsi="Times New Roman" w:cs="Times New Roman"/>
          <w:lang w:eastAsia="pt-BR"/>
        </w:rPr>
        <w:t>de 12%, com crédito do ICMS a favor do estabelecimento paulista</w:t>
      </w:r>
      <w:r w:rsidR="009A6285">
        <w:rPr>
          <w:rFonts w:ascii="Times New Roman" w:hAnsi="Times New Roman" w:cs="Times New Roman"/>
          <w:lang w:eastAsia="pt-BR"/>
        </w:rPr>
        <w:t>.</w:t>
      </w:r>
    </w:p>
    <w:p w:rsidR="00255207" w:rsidRDefault="008036E7" w:rsidP="00CA7069">
      <w:pPr>
        <w:spacing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t>3º)</w:t>
      </w:r>
      <w:proofErr w:type="gramEnd"/>
      <w:r>
        <w:rPr>
          <w:rFonts w:ascii="Times New Roman" w:hAnsi="Times New Roman" w:cs="Times New Roman"/>
          <w:lang w:eastAsia="pt-BR"/>
        </w:rPr>
        <w:t xml:space="preserve"> O estabelecimento em </w:t>
      </w:r>
      <w:r w:rsidRPr="008036E7">
        <w:rPr>
          <w:rFonts w:ascii="Times New Roman" w:hAnsi="Times New Roman" w:cs="Times New Roman"/>
          <w:lang w:eastAsia="pt-BR"/>
        </w:rPr>
        <w:t>Mogi</w:t>
      </w:r>
      <w:r>
        <w:rPr>
          <w:rFonts w:ascii="Times New Roman" w:hAnsi="Times New Roman" w:cs="Times New Roman"/>
          <w:lang w:eastAsia="pt-BR"/>
        </w:rPr>
        <w:t xml:space="preserve"> Guaçu </w:t>
      </w:r>
      <w:r w:rsidR="00A623A0">
        <w:rPr>
          <w:rFonts w:ascii="Times New Roman" w:hAnsi="Times New Roman" w:cs="Times New Roman"/>
          <w:lang w:eastAsia="pt-BR"/>
        </w:rPr>
        <w:t>–</w:t>
      </w:r>
      <w:r>
        <w:rPr>
          <w:rFonts w:ascii="Times New Roman" w:hAnsi="Times New Roman" w:cs="Times New Roman"/>
          <w:lang w:eastAsia="pt-BR"/>
        </w:rPr>
        <w:t xml:space="preserve"> SP</w:t>
      </w:r>
      <w:r w:rsidR="006C519C">
        <w:rPr>
          <w:rFonts w:ascii="Times New Roman" w:hAnsi="Times New Roman" w:cs="Times New Roman"/>
          <w:lang w:eastAsia="pt-BR"/>
        </w:rPr>
        <w:t xml:space="preserve"> efetua a venda, </w:t>
      </w:r>
      <w:r w:rsidR="00A623A0">
        <w:rPr>
          <w:rFonts w:ascii="Times New Roman" w:hAnsi="Times New Roman" w:cs="Times New Roman"/>
          <w:lang w:eastAsia="pt-BR"/>
        </w:rPr>
        <w:t>em operação de exportação, com CFOP 7.106 (</w:t>
      </w:r>
      <w:r w:rsidR="00A5548B">
        <w:rPr>
          <w:rFonts w:ascii="Times New Roman" w:hAnsi="Times New Roman" w:cs="Times New Roman"/>
          <w:lang w:eastAsia="pt-BR"/>
        </w:rPr>
        <w:t>v</w:t>
      </w:r>
      <w:r w:rsidR="00A5548B" w:rsidRPr="00A5548B">
        <w:rPr>
          <w:rFonts w:ascii="Times New Roman" w:hAnsi="Times New Roman" w:cs="Times New Roman"/>
          <w:lang w:eastAsia="pt-BR"/>
        </w:rPr>
        <w:t>enda de mercadoria adquirida ou recebida de terceiros, que não deva por ele transitar</w:t>
      </w:r>
      <w:r w:rsidR="00A5548B">
        <w:rPr>
          <w:rFonts w:ascii="Times New Roman" w:hAnsi="Times New Roman" w:cs="Times New Roman"/>
          <w:lang w:eastAsia="pt-BR"/>
        </w:rPr>
        <w:t xml:space="preserve">), com ICMS isento (SP), </w:t>
      </w:r>
      <w:r w:rsidR="006C519C">
        <w:rPr>
          <w:rFonts w:ascii="Times New Roman" w:hAnsi="Times New Roman" w:cs="Times New Roman"/>
          <w:lang w:eastAsia="pt-BR"/>
        </w:rPr>
        <w:t xml:space="preserve">e </w:t>
      </w:r>
      <w:r w:rsidR="00A5548B">
        <w:rPr>
          <w:rFonts w:ascii="Times New Roman" w:hAnsi="Times New Roman" w:cs="Times New Roman"/>
          <w:lang w:eastAsia="pt-BR"/>
        </w:rPr>
        <w:t xml:space="preserve">embarque </w:t>
      </w:r>
      <w:r w:rsidR="006C519C">
        <w:rPr>
          <w:rFonts w:ascii="Times New Roman" w:hAnsi="Times New Roman" w:cs="Times New Roman"/>
          <w:lang w:eastAsia="pt-BR"/>
        </w:rPr>
        <w:t xml:space="preserve">pelo </w:t>
      </w:r>
      <w:r w:rsidR="00A5548B">
        <w:rPr>
          <w:rFonts w:ascii="Times New Roman" w:hAnsi="Times New Roman" w:cs="Times New Roman"/>
          <w:lang w:eastAsia="pt-BR"/>
        </w:rPr>
        <w:t xml:space="preserve">Porto do RJ, por conta e ordem do estabelecimento de </w:t>
      </w:r>
      <w:r w:rsidR="00A5548B" w:rsidRPr="008036E7">
        <w:rPr>
          <w:rFonts w:ascii="Times New Roman" w:hAnsi="Times New Roman" w:cs="Times New Roman"/>
          <w:lang w:eastAsia="pt-BR"/>
        </w:rPr>
        <w:t>Mogi</w:t>
      </w:r>
      <w:r w:rsidR="00A5548B">
        <w:rPr>
          <w:rFonts w:ascii="Times New Roman" w:hAnsi="Times New Roman" w:cs="Times New Roman"/>
          <w:lang w:eastAsia="pt-BR"/>
        </w:rPr>
        <w:t xml:space="preserve"> Guaçu – SP</w:t>
      </w:r>
      <w:r w:rsidR="009A6285">
        <w:rPr>
          <w:rFonts w:ascii="Times New Roman" w:hAnsi="Times New Roman" w:cs="Times New Roman"/>
          <w:lang w:eastAsia="pt-BR"/>
        </w:rPr>
        <w:t>.</w:t>
      </w:r>
    </w:p>
    <w:p w:rsidR="00A5548B" w:rsidRPr="00255207" w:rsidRDefault="00A5548B" w:rsidP="00CA7069">
      <w:pPr>
        <w:spacing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t>4º)</w:t>
      </w:r>
      <w:proofErr w:type="gramEnd"/>
      <w:r>
        <w:rPr>
          <w:rFonts w:ascii="Times New Roman" w:hAnsi="Times New Roman" w:cs="Times New Roman"/>
          <w:lang w:eastAsia="pt-BR"/>
        </w:rPr>
        <w:t xml:space="preserve"> O estabelecimento do RJ, por conta e ordem d</w:t>
      </w:r>
      <w:r w:rsidR="006C519C">
        <w:rPr>
          <w:rFonts w:ascii="Times New Roman" w:hAnsi="Times New Roman" w:cs="Times New Roman"/>
          <w:lang w:eastAsia="pt-BR"/>
        </w:rPr>
        <w:t xml:space="preserve">o estabelecimento paulista </w:t>
      </w:r>
      <w:r>
        <w:rPr>
          <w:rFonts w:ascii="Times New Roman" w:hAnsi="Times New Roman" w:cs="Times New Roman"/>
          <w:lang w:eastAsia="pt-BR"/>
        </w:rPr>
        <w:t>entrega a mercadoria no porto (RJ), com CFOP 7.949, e ICMS isento.</w:t>
      </w:r>
    </w:p>
    <w:p w:rsidR="00CD4C62" w:rsidRDefault="00255207" w:rsidP="00CA7069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255207">
        <w:rPr>
          <w:rFonts w:ascii="Times New Roman" w:hAnsi="Times New Roman" w:cs="Times New Roman"/>
          <w:lang w:eastAsia="pt-BR"/>
        </w:rPr>
        <w:tab/>
      </w:r>
      <w:r w:rsidR="008036E7">
        <w:rPr>
          <w:rFonts w:ascii="Times New Roman" w:hAnsi="Times New Roman" w:cs="Times New Roman"/>
          <w:lang w:eastAsia="pt-BR"/>
        </w:rPr>
        <w:t>Por fim, i</w:t>
      </w:r>
      <w:r>
        <w:rPr>
          <w:rFonts w:ascii="Times New Roman" w:hAnsi="Times New Roman" w:cs="Times New Roman"/>
          <w:lang w:eastAsia="pt-BR"/>
        </w:rPr>
        <w:t>nforma que o</w:t>
      </w:r>
      <w:r w:rsidR="00CD4C62" w:rsidRPr="00255207">
        <w:rPr>
          <w:rFonts w:ascii="Times New Roman" w:hAnsi="Times New Roman" w:cs="Times New Roman"/>
          <w:lang w:eastAsia="pt-BR"/>
        </w:rPr>
        <w:t xml:space="preserve"> motivo para utilização da operação sugerida consiste na alteração do processo fabril para a produção do “</w:t>
      </w:r>
      <w:proofErr w:type="spellStart"/>
      <w:r w:rsidR="00CD4C62" w:rsidRPr="00255207">
        <w:rPr>
          <w:rFonts w:ascii="Times New Roman" w:hAnsi="Times New Roman" w:cs="Times New Roman"/>
          <w:lang w:eastAsia="pt-BR"/>
        </w:rPr>
        <w:t>Monitol</w:t>
      </w:r>
      <w:proofErr w:type="spellEnd"/>
      <w:r w:rsidR="00CD4C62" w:rsidRPr="00255207">
        <w:rPr>
          <w:rFonts w:ascii="Times New Roman" w:hAnsi="Times New Roman" w:cs="Times New Roman"/>
          <w:lang w:eastAsia="pt-BR"/>
        </w:rPr>
        <w:t>”, onde a matéria prima “açúcar” será modificada para produto industrializado tendo como base o milho (xarope de glicose tendo como origem amido de milho).</w:t>
      </w:r>
    </w:p>
    <w:p w:rsidR="00AC7301" w:rsidRDefault="00255207" w:rsidP="00CA7069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lang w:eastAsia="pt-BR"/>
        </w:rPr>
        <w:tab/>
      </w:r>
      <w:r w:rsidR="00AC7301" w:rsidRPr="00255207">
        <w:rPr>
          <w:rFonts w:ascii="Times New Roman" w:hAnsi="Times New Roman" w:cs="Times New Roman"/>
          <w:b/>
          <w:smallCaps/>
        </w:rPr>
        <w:t>A Consulta:</w:t>
      </w:r>
    </w:p>
    <w:p w:rsidR="003215AC" w:rsidRPr="003215AC" w:rsidRDefault="003215AC" w:rsidP="00CA7069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3215AC">
        <w:rPr>
          <w:rFonts w:ascii="Times New Roman" w:hAnsi="Times New Roman" w:cs="Times New Roman"/>
        </w:rPr>
        <w:tab/>
        <w:t>Requer manifestação desta Coordenação sobre os procedimentos relatados.</w:t>
      </w:r>
    </w:p>
    <w:p w:rsidR="00610064" w:rsidRPr="00255207" w:rsidRDefault="00610064" w:rsidP="00CA7069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</w:rPr>
      </w:pPr>
      <w:r w:rsidRPr="00255207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272877" w:rsidRPr="00255207">
        <w:rPr>
          <w:rFonts w:ascii="Times New Roman" w:hAnsi="Times New Roman" w:cs="Times New Roman"/>
        </w:rPr>
        <w:t>09</w:t>
      </w:r>
      <w:r w:rsidRPr="00255207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272877" w:rsidRPr="00255207">
        <w:rPr>
          <w:rFonts w:ascii="Times New Roman" w:hAnsi="Times New Roman" w:cs="Times New Roman"/>
        </w:rPr>
        <w:t>12/</w:t>
      </w:r>
      <w:r w:rsidRPr="00255207">
        <w:rPr>
          <w:rFonts w:ascii="Times New Roman" w:hAnsi="Times New Roman" w:cs="Times New Roman"/>
        </w:rPr>
        <w:t xml:space="preserve">14), bem como as informações relativas aos incisos I e II do artigo 3º da Resolução SEF n.° 109/76 (fls. </w:t>
      </w:r>
      <w:r w:rsidR="005372E4">
        <w:rPr>
          <w:rFonts w:ascii="Times New Roman" w:hAnsi="Times New Roman" w:cs="Times New Roman"/>
        </w:rPr>
        <w:t>35</w:t>
      </w:r>
      <w:r w:rsidRPr="00255207">
        <w:rPr>
          <w:rFonts w:ascii="Times New Roman" w:hAnsi="Times New Roman" w:cs="Times New Roman"/>
        </w:rPr>
        <w:t>).</w:t>
      </w:r>
    </w:p>
    <w:p w:rsidR="00610064" w:rsidRPr="00255207" w:rsidRDefault="00610064" w:rsidP="00CA7069">
      <w:pPr>
        <w:spacing w:after="0" w:line="360" w:lineRule="auto"/>
        <w:ind w:right="-852" w:firstLine="709"/>
        <w:rPr>
          <w:rFonts w:ascii="Times New Roman" w:hAnsi="Times New Roman" w:cs="Times New Roman"/>
          <w:b/>
        </w:rPr>
      </w:pPr>
    </w:p>
    <w:p w:rsidR="00F968E2" w:rsidRPr="00255207" w:rsidRDefault="008C0608" w:rsidP="00CA7069">
      <w:pPr>
        <w:spacing w:after="0" w:line="360" w:lineRule="auto"/>
        <w:ind w:right="-852" w:firstLine="709"/>
        <w:rPr>
          <w:rFonts w:ascii="Times New Roman" w:hAnsi="Times New Roman" w:cs="Times New Roman"/>
          <w:b/>
          <w:smallCaps/>
        </w:rPr>
      </w:pPr>
      <w:r w:rsidRPr="00255207">
        <w:rPr>
          <w:rFonts w:ascii="Times New Roman" w:hAnsi="Times New Roman" w:cs="Times New Roman"/>
          <w:b/>
        </w:rPr>
        <w:t xml:space="preserve">II – </w:t>
      </w:r>
      <w:r w:rsidR="001E13FA" w:rsidRPr="00255207">
        <w:rPr>
          <w:rFonts w:ascii="Times New Roman" w:hAnsi="Times New Roman" w:cs="Times New Roman"/>
          <w:b/>
          <w:smallCaps/>
        </w:rPr>
        <w:t>Análise e Fundamentação</w:t>
      </w:r>
      <w:r w:rsidR="003215AC">
        <w:rPr>
          <w:rFonts w:ascii="Times New Roman" w:hAnsi="Times New Roman" w:cs="Times New Roman"/>
          <w:b/>
          <w:smallCaps/>
        </w:rPr>
        <w:t xml:space="preserve"> e </w:t>
      </w:r>
      <w:r w:rsidR="00542EA5" w:rsidRPr="00255207">
        <w:rPr>
          <w:rFonts w:ascii="Times New Roman" w:hAnsi="Times New Roman" w:cs="Times New Roman"/>
          <w:b/>
          <w:smallCaps/>
        </w:rPr>
        <w:t>R</w:t>
      </w:r>
      <w:r w:rsidR="004174DA" w:rsidRPr="00255207">
        <w:rPr>
          <w:rFonts w:ascii="Times New Roman" w:hAnsi="Times New Roman" w:cs="Times New Roman"/>
          <w:b/>
          <w:smallCaps/>
        </w:rPr>
        <w:t>esposta:</w:t>
      </w:r>
    </w:p>
    <w:p w:rsidR="004174DA" w:rsidRPr="00255207" w:rsidRDefault="004174DA" w:rsidP="00CA7069">
      <w:pPr>
        <w:spacing w:after="0" w:line="360" w:lineRule="auto"/>
        <w:ind w:right="-851" w:firstLine="709"/>
        <w:rPr>
          <w:rFonts w:ascii="Times New Roman" w:hAnsi="Times New Roman" w:cs="Times New Roman"/>
          <w:b/>
          <w:smallCaps/>
        </w:rPr>
      </w:pPr>
    </w:p>
    <w:p w:rsidR="00014943" w:rsidRDefault="00014943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</w:t>
      </w:r>
      <w:r w:rsidR="00683AD6">
        <w:rPr>
          <w:rFonts w:ascii="Times New Roman" w:hAnsi="Times New Roman" w:cs="Times New Roman"/>
        </w:rPr>
        <w:t xml:space="preserve">deixemos </w:t>
      </w:r>
      <w:r>
        <w:rPr>
          <w:rFonts w:ascii="Times New Roman" w:hAnsi="Times New Roman" w:cs="Times New Roman"/>
        </w:rPr>
        <w:t xml:space="preserve">claro que a resposta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esta consulta, apesar de envolver operações iniciadas no Estados de São Paulo com destino ao Estado do Rio de Janeiro, retrata</w:t>
      </w:r>
      <w:r w:rsidR="00276EF6">
        <w:rPr>
          <w:rFonts w:ascii="Times New Roman" w:hAnsi="Times New Roman" w:cs="Times New Roman"/>
        </w:rPr>
        <w:t>rá</w:t>
      </w:r>
      <w:r>
        <w:rPr>
          <w:rFonts w:ascii="Times New Roman" w:hAnsi="Times New Roman" w:cs="Times New Roman"/>
        </w:rPr>
        <w:t xml:space="preserve"> a ótica do fisco fluminense relativamente a interpretação e aplicação da legislação tributária reportada.</w:t>
      </w:r>
    </w:p>
    <w:p w:rsidR="00B82677" w:rsidRDefault="00276EF6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Isto posto</w:t>
      </w:r>
      <w:proofErr w:type="gramEnd"/>
      <w:r>
        <w:rPr>
          <w:rFonts w:ascii="Times New Roman" w:hAnsi="Times New Roman" w:cs="Times New Roman"/>
        </w:rPr>
        <w:t xml:space="preserve">, </w:t>
      </w:r>
      <w:r w:rsidR="00BA0E64">
        <w:rPr>
          <w:rFonts w:ascii="Times New Roman" w:hAnsi="Times New Roman" w:cs="Times New Roman"/>
        </w:rPr>
        <w:t>respondendo as questões apresentadas, entendemos que n</w:t>
      </w:r>
      <w:r w:rsidR="003215AC">
        <w:rPr>
          <w:rFonts w:ascii="Times New Roman" w:hAnsi="Times New Roman" w:cs="Times New Roman"/>
        </w:rPr>
        <w:t xml:space="preserve">ada impede a remessa pelo estabelecimento industrializador fluminense do produto final </w:t>
      </w:r>
      <w:r w:rsidR="00526CE7">
        <w:rPr>
          <w:rFonts w:ascii="Times New Roman" w:hAnsi="Times New Roman" w:cs="Times New Roman"/>
        </w:rPr>
        <w:t xml:space="preserve">resultante da industrialização </w:t>
      </w:r>
      <w:r w:rsidR="003215AC">
        <w:rPr>
          <w:rFonts w:ascii="Times New Roman" w:hAnsi="Times New Roman" w:cs="Times New Roman"/>
        </w:rPr>
        <w:t>para o porto</w:t>
      </w:r>
      <w:r w:rsidR="00526CE7">
        <w:rPr>
          <w:rFonts w:ascii="Times New Roman" w:hAnsi="Times New Roman" w:cs="Times New Roman"/>
        </w:rPr>
        <w:t xml:space="preserve"> </w:t>
      </w:r>
      <w:r w:rsidR="00526CE7">
        <w:rPr>
          <w:rFonts w:ascii="Times New Roman" w:hAnsi="Times New Roman" w:cs="Times New Roman"/>
        </w:rPr>
        <w:lastRenderedPageBreak/>
        <w:t>no Rio de Janeiro</w:t>
      </w:r>
      <w:r w:rsidR="003215AC">
        <w:rPr>
          <w:rFonts w:ascii="Times New Roman" w:hAnsi="Times New Roman" w:cs="Times New Roman"/>
        </w:rPr>
        <w:t>, com destino ao exterior, por conta e ordem</w:t>
      </w:r>
      <w:r w:rsidR="00AB01CC">
        <w:rPr>
          <w:rFonts w:ascii="Times New Roman" w:hAnsi="Times New Roman" w:cs="Times New Roman"/>
        </w:rPr>
        <w:t xml:space="preserve"> do estabelecimento paulista.  Porém, os </w:t>
      </w:r>
      <w:r w:rsidR="003215AC">
        <w:rPr>
          <w:rFonts w:ascii="Times New Roman" w:hAnsi="Times New Roman" w:cs="Times New Roman"/>
        </w:rPr>
        <w:t>procedimentos de</w:t>
      </w:r>
      <w:r w:rsidR="00BA0E64">
        <w:rPr>
          <w:rFonts w:ascii="Times New Roman" w:hAnsi="Times New Roman" w:cs="Times New Roman"/>
        </w:rPr>
        <w:t xml:space="preserve">scritos </w:t>
      </w:r>
      <w:r w:rsidR="003215AC">
        <w:rPr>
          <w:rFonts w:ascii="Times New Roman" w:hAnsi="Times New Roman" w:cs="Times New Roman"/>
        </w:rPr>
        <w:t>pela consulente não</w:t>
      </w:r>
      <w:r w:rsidR="00AB01CC">
        <w:rPr>
          <w:rFonts w:ascii="Times New Roman" w:hAnsi="Times New Roman" w:cs="Times New Roman"/>
        </w:rPr>
        <w:t xml:space="preserve"> est</w:t>
      </w:r>
      <w:r w:rsidR="001D588B">
        <w:rPr>
          <w:rFonts w:ascii="Times New Roman" w:hAnsi="Times New Roman" w:cs="Times New Roman"/>
        </w:rPr>
        <w:t xml:space="preserve">ão </w:t>
      </w:r>
      <w:r w:rsidR="006C519C">
        <w:rPr>
          <w:rFonts w:ascii="Times New Roman" w:hAnsi="Times New Roman" w:cs="Times New Roman"/>
        </w:rPr>
        <w:t xml:space="preserve">inteiramente </w:t>
      </w:r>
      <w:r w:rsidR="001D588B">
        <w:rPr>
          <w:rFonts w:ascii="Times New Roman" w:hAnsi="Times New Roman" w:cs="Times New Roman"/>
        </w:rPr>
        <w:t>corretos, devendo a mesma observar o que segue.</w:t>
      </w:r>
    </w:p>
    <w:p w:rsidR="001D588B" w:rsidRDefault="001D588B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 xml:space="preserve">I) </w:t>
      </w:r>
      <w:r w:rsidR="006A32F5" w:rsidRPr="006A32F5">
        <w:rPr>
          <w:rFonts w:ascii="Times New Roman" w:hAnsi="Times New Roman" w:cs="Times New Roman"/>
        </w:rPr>
        <w:t>A saída</w:t>
      </w:r>
      <w:r w:rsidR="00BA0E64">
        <w:rPr>
          <w:rFonts w:ascii="Times New Roman" w:hAnsi="Times New Roman" w:cs="Times New Roman"/>
        </w:rPr>
        <w:t>,</w:t>
      </w:r>
      <w:r w:rsidR="006A32F5" w:rsidRPr="006A32F5">
        <w:rPr>
          <w:rFonts w:ascii="Times New Roman" w:hAnsi="Times New Roman" w:cs="Times New Roman"/>
        </w:rPr>
        <w:t xml:space="preserve"> e o respectivo retorno</w:t>
      </w:r>
      <w:r w:rsidR="00BA0E64">
        <w:rPr>
          <w:rFonts w:ascii="Times New Roman" w:hAnsi="Times New Roman" w:cs="Times New Roman"/>
        </w:rPr>
        <w:t>,</w:t>
      </w:r>
      <w:r w:rsidR="006A32F5" w:rsidRPr="006A32F5">
        <w:rPr>
          <w:rFonts w:ascii="Times New Roman" w:hAnsi="Times New Roman" w:cs="Times New Roman"/>
        </w:rPr>
        <w:t xml:space="preserve"> de mercadoria destinada a conserto, reparo ou industrialização goza</w:t>
      </w:r>
      <w:r w:rsidR="00BA0E64">
        <w:rPr>
          <w:rFonts w:ascii="Times New Roman" w:hAnsi="Times New Roman" w:cs="Times New Roman"/>
        </w:rPr>
        <w:t>m</w:t>
      </w:r>
      <w:r w:rsidR="006A32F5" w:rsidRPr="006A32F5">
        <w:rPr>
          <w:rFonts w:ascii="Times New Roman" w:hAnsi="Times New Roman" w:cs="Times New Roman"/>
        </w:rPr>
        <w:t xml:space="preserve"> de suspensão do </w:t>
      </w:r>
      <w:r w:rsidR="00DA5C5E">
        <w:rPr>
          <w:rFonts w:ascii="Times New Roman" w:hAnsi="Times New Roman" w:cs="Times New Roman"/>
        </w:rPr>
        <w:t xml:space="preserve">ICMS </w:t>
      </w:r>
      <w:r w:rsidR="006A32F5" w:rsidRPr="006A32F5">
        <w:rPr>
          <w:rFonts w:ascii="Times New Roman" w:hAnsi="Times New Roman" w:cs="Times New Roman"/>
        </w:rPr>
        <w:t>em conformidade com o Convênio AE-15, de 11 de dezembro de 1974, observadas as condições estabele</w:t>
      </w:r>
      <w:r w:rsidR="006A32F5">
        <w:rPr>
          <w:rFonts w:ascii="Times New Roman" w:hAnsi="Times New Roman" w:cs="Times New Roman"/>
        </w:rPr>
        <w:t xml:space="preserve">cidas pelo Regulamento do ICMS das respectivas unidades da Federação.  </w:t>
      </w:r>
      <w:r w:rsidR="00BA0E64">
        <w:rPr>
          <w:rFonts w:ascii="Times New Roman" w:hAnsi="Times New Roman" w:cs="Times New Roman"/>
        </w:rPr>
        <w:t>De acordo com a mesma norma, a</w:t>
      </w:r>
      <w:r w:rsidR="00E857F3" w:rsidRPr="00E857F3">
        <w:rPr>
          <w:rFonts w:ascii="Times New Roman" w:hAnsi="Times New Roman" w:cs="Times New Roman"/>
        </w:rPr>
        <w:t xml:space="preserve"> referida suspensão é condicionada a que o bem retorne ao estabelecimento de origem no prazo de 180 (cento e oitenta) dias, contados da data das respectivas saídas, prorrogáveis por mais cento e oitenta dias, admitindo-se, excepcionalmente, uma segunda prorrogação de igual prazo</w:t>
      </w:r>
      <w:r w:rsidR="00E857F3">
        <w:rPr>
          <w:rFonts w:ascii="Times New Roman" w:hAnsi="Times New Roman" w:cs="Times New Roman"/>
        </w:rPr>
        <w:t xml:space="preserve">.  </w:t>
      </w:r>
      <w:r w:rsidR="006A32F5">
        <w:rPr>
          <w:rFonts w:ascii="Times New Roman" w:hAnsi="Times New Roman" w:cs="Times New Roman"/>
        </w:rPr>
        <w:t xml:space="preserve">Assim, </w:t>
      </w:r>
      <w:r w:rsidR="007F14A6">
        <w:rPr>
          <w:rFonts w:ascii="Times New Roman" w:hAnsi="Times New Roman" w:cs="Times New Roman"/>
        </w:rPr>
        <w:t xml:space="preserve">sob a ótica do fisco deste Estado, </w:t>
      </w:r>
      <w:r w:rsidR="006A32F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remessa para industrialização o estabelecimento </w:t>
      </w:r>
      <w:r>
        <w:rPr>
          <w:rFonts w:ascii="Times New Roman" w:hAnsi="Times New Roman" w:cs="Times New Roman"/>
          <w:lang w:eastAsia="pt-BR"/>
        </w:rPr>
        <w:t xml:space="preserve">de </w:t>
      </w:r>
      <w:r w:rsidRPr="008036E7">
        <w:rPr>
          <w:rFonts w:ascii="Times New Roman" w:hAnsi="Times New Roman" w:cs="Times New Roman"/>
          <w:lang w:eastAsia="pt-BR"/>
        </w:rPr>
        <w:t>Mogi</w:t>
      </w:r>
      <w:r>
        <w:rPr>
          <w:rFonts w:ascii="Times New Roman" w:hAnsi="Times New Roman" w:cs="Times New Roman"/>
          <w:lang w:eastAsia="pt-BR"/>
        </w:rPr>
        <w:t xml:space="preserve"> Guaçu – SP deve emitir Nota Fiscal com </w:t>
      </w:r>
      <w:r w:rsidR="006A32F5">
        <w:rPr>
          <w:rFonts w:ascii="Times New Roman" w:hAnsi="Times New Roman" w:cs="Times New Roman"/>
          <w:lang w:eastAsia="pt-BR"/>
        </w:rPr>
        <w:t xml:space="preserve">suspensão do ICMS, CFOP </w:t>
      </w:r>
      <w:r w:rsidR="009A6285">
        <w:rPr>
          <w:rFonts w:ascii="Times New Roman" w:hAnsi="Times New Roman" w:cs="Times New Roman"/>
          <w:lang w:eastAsia="pt-BR"/>
        </w:rPr>
        <w:t>6.</w:t>
      </w:r>
      <w:r w:rsidR="009A6285" w:rsidRPr="009A6285">
        <w:rPr>
          <w:rFonts w:ascii="Times New Roman" w:hAnsi="Times New Roman" w:cs="Times New Roman"/>
          <w:lang w:eastAsia="pt-BR"/>
        </w:rPr>
        <w:t>901 -</w:t>
      </w:r>
      <w:r w:rsidR="009A6285">
        <w:rPr>
          <w:rFonts w:ascii="Times New Roman" w:hAnsi="Times New Roman" w:cs="Times New Roman"/>
          <w:lang w:eastAsia="pt-BR"/>
        </w:rPr>
        <w:t xml:space="preserve"> r</w:t>
      </w:r>
      <w:r w:rsidR="009A6285" w:rsidRPr="009A6285">
        <w:rPr>
          <w:rFonts w:ascii="Times New Roman" w:hAnsi="Times New Roman" w:cs="Times New Roman"/>
          <w:lang w:eastAsia="pt-BR"/>
        </w:rPr>
        <w:t>emessa para industrialização por encomenda</w:t>
      </w:r>
      <w:r w:rsidR="009A6285">
        <w:rPr>
          <w:rFonts w:ascii="Times New Roman" w:hAnsi="Times New Roman" w:cs="Times New Roman"/>
          <w:lang w:eastAsia="pt-BR"/>
        </w:rPr>
        <w:t xml:space="preserve">.  Esta operação não gera direito ao crédito do ICMS para o estabelecimento industrializador </w:t>
      </w:r>
      <w:r w:rsidR="006C519C">
        <w:rPr>
          <w:rFonts w:ascii="Times New Roman" w:hAnsi="Times New Roman" w:cs="Times New Roman"/>
          <w:lang w:eastAsia="pt-BR"/>
        </w:rPr>
        <w:t>fluminense.</w:t>
      </w:r>
    </w:p>
    <w:p w:rsidR="009A6285" w:rsidRDefault="009A6285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</w:rPr>
        <w:t>II)</w:t>
      </w:r>
      <w:proofErr w:type="gramEnd"/>
      <w:r>
        <w:rPr>
          <w:rFonts w:ascii="Times New Roman" w:hAnsi="Times New Roman" w:cs="Times New Roman"/>
        </w:rPr>
        <w:t xml:space="preserve"> No retorno</w:t>
      </w:r>
      <w:r w:rsidR="00E17DD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simbólico</w:t>
      </w:r>
      <w:r w:rsidR="00E17D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dos insumos </w:t>
      </w:r>
      <w:r w:rsidRPr="009A6285">
        <w:rPr>
          <w:rFonts w:ascii="Times New Roman" w:hAnsi="Times New Roman" w:cs="Times New Roman"/>
        </w:rPr>
        <w:t xml:space="preserve">recebidos para industrialização </w:t>
      </w:r>
      <w:r w:rsidR="006503E7">
        <w:rPr>
          <w:rFonts w:ascii="Times New Roman" w:hAnsi="Times New Roman" w:cs="Times New Roman"/>
        </w:rPr>
        <w:t>e incorporados ao produto final</w:t>
      </w:r>
      <w:r w:rsidR="00E17D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503E7">
        <w:rPr>
          <w:rFonts w:ascii="Times New Roman" w:hAnsi="Times New Roman" w:cs="Times New Roman"/>
        </w:rPr>
        <w:t xml:space="preserve">e do produto final,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lang w:eastAsia="pt-BR"/>
        </w:rPr>
        <w:t>estabelecimento industrializador fluminense deve emitir Nota</w:t>
      </w:r>
      <w:r w:rsidR="00E17DD5">
        <w:rPr>
          <w:rFonts w:ascii="Times New Roman" w:hAnsi="Times New Roman" w:cs="Times New Roman"/>
          <w:lang w:eastAsia="pt-BR"/>
        </w:rPr>
        <w:t xml:space="preserve"> Fiscal com os seguintes </w:t>
      </w:r>
      <w:proofErr w:type="spellStart"/>
      <w:r w:rsidR="00E17DD5">
        <w:rPr>
          <w:rFonts w:ascii="Times New Roman" w:hAnsi="Times New Roman" w:cs="Times New Roman"/>
          <w:lang w:eastAsia="pt-BR"/>
        </w:rPr>
        <w:t>CFOPs</w:t>
      </w:r>
      <w:proofErr w:type="spellEnd"/>
      <w:r w:rsidR="00683AD6">
        <w:rPr>
          <w:rFonts w:ascii="Times New Roman" w:hAnsi="Times New Roman" w:cs="Times New Roman"/>
          <w:lang w:eastAsia="pt-BR"/>
        </w:rPr>
        <w:t xml:space="preserve">, já considerando a </w:t>
      </w:r>
      <w:r w:rsidR="00683AD6">
        <w:rPr>
          <w:rFonts w:ascii="Times New Roman" w:hAnsi="Times New Roman" w:cs="Times New Roman"/>
        </w:rPr>
        <w:t>ausência de CFOP específico para remessa e retorno para industrialização em operações de transferência</w:t>
      </w:r>
      <w:r w:rsidR="00E17DD5">
        <w:rPr>
          <w:rFonts w:ascii="Times New Roman" w:hAnsi="Times New Roman" w:cs="Times New Roman"/>
          <w:lang w:eastAsia="pt-BR"/>
        </w:rPr>
        <w:t>:</w:t>
      </w:r>
    </w:p>
    <w:p w:rsidR="009A6285" w:rsidRPr="00CA0754" w:rsidRDefault="009A6285" w:rsidP="00CA7069">
      <w:pPr>
        <w:pStyle w:val="PargrafodaLista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 w:rsidRPr="00CA0754">
        <w:rPr>
          <w:rFonts w:ascii="Times New Roman" w:hAnsi="Times New Roman" w:cs="Times New Roman"/>
          <w:lang w:eastAsia="pt-BR"/>
        </w:rPr>
        <w:t>6.</w:t>
      </w:r>
      <w:r w:rsidRPr="009A6285">
        <w:t xml:space="preserve"> </w:t>
      </w:r>
      <w:r w:rsidRPr="00CA0754">
        <w:rPr>
          <w:rFonts w:ascii="Times New Roman" w:hAnsi="Times New Roman" w:cs="Times New Roman"/>
          <w:lang w:eastAsia="pt-BR"/>
        </w:rPr>
        <w:t>902 - Retorno de mercadoria utilizada na industrialização por encomenda, com suspensão do ICMS, com base no mencionado convênio;</w:t>
      </w:r>
    </w:p>
    <w:p w:rsidR="007C34FE" w:rsidRDefault="007C34FE" w:rsidP="00CA7069">
      <w:pPr>
        <w:pStyle w:val="PargrafodaLista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7C34FE">
        <w:rPr>
          <w:rFonts w:ascii="Times New Roman" w:hAnsi="Times New Roman" w:cs="Times New Roman"/>
        </w:rPr>
        <w:t>6.124 - Industrialização efetuada para outra empresa</w:t>
      </w:r>
      <w:r w:rsidR="00683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tributada pelo ICMS à alíquota de 12% (doze por cento), observada a base de cálculo prevista no </w:t>
      </w:r>
      <w:r w:rsidR="00286E5E">
        <w:rPr>
          <w:rFonts w:ascii="Times New Roman" w:hAnsi="Times New Roman" w:cs="Times New Roman"/>
        </w:rPr>
        <w:t xml:space="preserve">inciso II do artigo 8º da Lei n.º 2.657/96, com redação dada pela </w:t>
      </w:r>
      <w:r w:rsidR="00286E5E" w:rsidRPr="00286E5E">
        <w:rPr>
          <w:rFonts w:ascii="Times New Roman" w:hAnsi="Times New Roman" w:cs="Times New Roman"/>
        </w:rPr>
        <w:t>Lei n.º 6.276/12</w:t>
      </w:r>
      <w:r w:rsidR="00286E5E">
        <w:rPr>
          <w:rFonts w:ascii="Times New Roman" w:hAnsi="Times New Roman" w:cs="Times New Roman"/>
        </w:rPr>
        <w:t>.</w:t>
      </w:r>
    </w:p>
    <w:p w:rsidR="00CD2022" w:rsidRDefault="00194A1E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r w:rsidR="007F14A6">
        <w:rPr>
          <w:rFonts w:ascii="Times New Roman" w:hAnsi="Times New Roman" w:cs="Times New Roman"/>
        </w:rPr>
        <w:t xml:space="preserve">Novamente, </w:t>
      </w:r>
      <w:r w:rsidR="00683AD6">
        <w:rPr>
          <w:rFonts w:ascii="Times New Roman" w:hAnsi="Times New Roman" w:cs="Times New Roman"/>
        </w:rPr>
        <w:t xml:space="preserve">sob a nossa ótica, </w:t>
      </w:r>
      <w:r w:rsidR="007F14A6">
        <w:rPr>
          <w:rFonts w:ascii="Times New Roman" w:hAnsi="Times New Roman" w:cs="Times New Roman"/>
        </w:rPr>
        <w:t xml:space="preserve">o </w:t>
      </w:r>
      <w:r w:rsidR="00753C79">
        <w:rPr>
          <w:rFonts w:ascii="Times New Roman" w:hAnsi="Times New Roman" w:cs="Times New Roman"/>
        </w:rPr>
        <w:t xml:space="preserve">estabelecimento </w:t>
      </w:r>
      <w:r w:rsidR="007F14A6">
        <w:rPr>
          <w:rFonts w:ascii="Times New Roman" w:hAnsi="Times New Roman" w:cs="Times New Roman"/>
        </w:rPr>
        <w:t xml:space="preserve">paulista ao </w:t>
      </w:r>
      <w:r w:rsidR="00753C79">
        <w:rPr>
          <w:rFonts w:ascii="Times New Roman" w:hAnsi="Times New Roman" w:cs="Times New Roman"/>
        </w:rPr>
        <w:t xml:space="preserve">faturar para o exterior emitirá Nota Fiscal com o CFOP 7.106, amparado com não incidência do ICMS, com base no </w:t>
      </w:r>
      <w:r>
        <w:rPr>
          <w:rFonts w:ascii="Times New Roman" w:hAnsi="Times New Roman" w:cs="Times New Roman"/>
        </w:rPr>
        <w:t>inciso II do artigo 3º da Lei Complementar federal n.º 87/96</w:t>
      </w:r>
      <w:r w:rsidR="00B07929">
        <w:rPr>
          <w:rFonts w:ascii="Times New Roman" w:hAnsi="Times New Roman" w:cs="Times New Roman"/>
        </w:rPr>
        <w:t>, informando se tratar de venda a ordem, identificando o estabelecimento industrializador fluminense e o local de embarque para o exterior.</w:t>
      </w:r>
    </w:p>
    <w:p w:rsidR="00194A1E" w:rsidRDefault="00194A1E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O estabelecimento f</w:t>
      </w:r>
      <w:r w:rsidR="00606E6A">
        <w:rPr>
          <w:rFonts w:ascii="Times New Roman" w:hAnsi="Times New Roman" w:cs="Times New Roman"/>
        </w:rPr>
        <w:t xml:space="preserve">luminense emitirá Nota Fiscal com o CFOP </w:t>
      </w:r>
      <w:r w:rsidR="00B07929">
        <w:rPr>
          <w:rFonts w:ascii="Times New Roman" w:hAnsi="Times New Roman" w:cs="Times New Roman"/>
        </w:rPr>
        <w:t>7.949, em nome do destinatário, identificando em “Informações Complementares” o estabelecimento exportador e o número da Nota Fiscal de faturamento.</w:t>
      </w:r>
    </w:p>
    <w:p w:rsidR="00606E6A" w:rsidRPr="00CD2022" w:rsidRDefault="00B07929" w:rsidP="00CA7069">
      <w:pPr>
        <w:spacing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Lembramos que, d</w:t>
      </w:r>
      <w:r w:rsidR="00606E6A" w:rsidRPr="00606E6A">
        <w:rPr>
          <w:rFonts w:ascii="Times New Roman" w:hAnsi="Times New Roman" w:cs="Times New Roman"/>
        </w:rPr>
        <w:t>e acordo com o § 3°, do artigo 40, da Lei n° 2657/96, verificado, a qualquer tempo, que a mercadoria não chegou ao destino indicado ou foi reintroduzida no mercado interno, a operação será considerada tributável, ficando o contribuinte obrigado a recolher o imposto relativo à saída, com os acréscimos e penalidades cabíveis.</w:t>
      </w:r>
    </w:p>
    <w:p w:rsidR="00610064" w:rsidRPr="00255207" w:rsidRDefault="00610064" w:rsidP="00CA7069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</w:rPr>
      </w:pPr>
      <w:r w:rsidRPr="00255207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 ou caso seja editada norma superveniente dispondo de forma contrária.</w:t>
      </w:r>
    </w:p>
    <w:p w:rsidR="006C519C" w:rsidRDefault="006C519C" w:rsidP="004174D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1858F7" w:rsidRPr="00255207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255207">
        <w:rPr>
          <w:rFonts w:ascii="Times New Roman" w:hAnsi="Times New Roman" w:cs="Times New Roman"/>
        </w:rPr>
        <w:t>CCJT, em</w:t>
      </w:r>
      <w:r w:rsidR="001858F7" w:rsidRPr="00255207">
        <w:rPr>
          <w:rFonts w:ascii="Times New Roman" w:hAnsi="Times New Roman" w:cs="Times New Roman"/>
        </w:rPr>
        <w:t xml:space="preserve"> </w:t>
      </w:r>
      <w:r w:rsidR="00B51BB0">
        <w:rPr>
          <w:rFonts w:ascii="Times New Roman" w:hAnsi="Times New Roman" w:cs="Times New Roman"/>
        </w:rPr>
        <w:t>23</w:t>
      </w:r>
      <w:r w:rsidR="00CA7069">
        <w:rPr>
          <w:rFonts w:ascii="Times New Roman" w:hAnsi="Times New Roman" w:cs="Times New Roman"/>
        </w:rPr>
        <w:t xml:space="preserve"> </w:t>
      </w:r>
      <w:r w:rsidR="001858F7" w:rsidRPr="00255207">
        <w:rPr>
          <w:rFonts w:ascii="Times New Roman" w:hAnsi="Times New Roman" w:cs="Times New Roman"/>
        </w:rPr>
        <w:t>de</w:t>
      </w:r>
      <w:r w:rsidR="00CA7069">
        <w:rPr>
          <w:rFonts w:ascii="Times New Roman" w:hAnsi="Times New Roman" w:cs="Times New Roman"/>
        </w:rPr>
        <w:t xml:space="preserve"> fevereiro </w:t>
      </w:r>
      <w:r w:rsidR="001858F7" w:rsidRPr="00255207">
        <w:rPr>
          <w:rFonts w:ascii="Times New Roman" w:hAnsi="Times New Roman" w:cs="Times New Roman"/>
        </w:rPr>
        <w:t>de 2</w:t>
      </w:r>
      <w:r w:rsidR="003B6D06" w:rsidRPr="00255207">
        <w:rPr>
          <w:rFonts w:ascii="Times New Roman" w:hAnsi="Times New Roman" w:cs="Times New Roman"/>
        </w:rPr>
        <w:t>.</w:t>
      </w:r>
      <w:r w:rsidR="00A027F1">
        <w:rPr>
          <w:rFonts w:ascii="Times New Roman" w:hAnsi="Times New Roman" w:cs="Times New Roman"/>
        </w:rPr>
        <w:t>016</w:t>
      </w:r>
      <w:r w:rsidR="003B6D06" w:rsidRPr="00255207">
        <w:rPr>
          <w:rFonts w:ascii="Times New Roman" w:hAnsi="Times New Roman" w:cs="Times New Roman"/>
        </w:rPr>
        <w:t>.</w:t>
      </w:r>
    </w:p>
    <w:p w:rsidR="001858F7" w:rsidRPr="00255207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255207" w:rsidSect="00A22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0" w:rsidRDefault="00A221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0" w:rsidRDefault="00A221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0" w:rsidRDefault="00A22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0" w:rsidRDefault="00A221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B268C66" wp14:editId="50E4FC32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1B6CA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1B6CAC">
                  <w:rPr>
                    <w:rFonts w:ascii="Times New Roman" w:hAnsi="Times New Roman"/>
                    <w:sz w:val="20"/>
                  </w:rPr>
                  <w:t>029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1B6CAC">
                  <w:rPr>
                    <w:rFonts w:ascii="Times New Roman" w:hAnsi="Times New Roman"/>
                    <w:sz w:val="20"/>
                  </w:rPr>
                  <w:t>1328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2015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1B6CA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1B6CAC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1B6CAC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1B6CAC">
                  <w:rPr>
                    <w:rFonts w:ascii="Times New Roman" w:hAnsi="Times New Roman"/>
                    <w:sz w:val="20"/>
                  </w:rPr>
                  <w:t>15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DC36BE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DC36BE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A221C0">
                  <w:rPr>
                    <w:rFonts w:ascii="Times New Roman" w:hAnsi="Times New Roman"/>
                    <w:noProof/>
                    <w:sz w:val="20"/>
                  </w:rPr>
                  <w:t>38</w:t>
                </w:r>
                <w:r w:rsidR="00DC36BE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0" w:rsidRDefault="00A221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F5B"/>
    <w:multiLevelType w:val="hybridMultilevel"/>
    <w:tmpl w:val="98406020"/>
    <w:lvl w:ilvl="0" w:tplc="E39C885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37D98"/>
    <w:multiLevelType w:val="hybridMultilevel"/>
    <w:tmpl w:val="F63E57BA"/>
    <w:lvl w:ilvl="0" w:tplc="E4985AC4">
      <w:start w:val="1"/>
      <w:numFmt w:val="lowerRoman"/>
      <w:lvlText w:val="(%1)"/>
      <w:lvlJc w:val="left"/>
      <w:pPr>
        <w:ind w:left="1668" w:hanging="9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16C8"/>
    <w:rsid w:val="00003919"/>
    <w:rsid w:val="000055B0"/>
    <w:rsid w:val="00014943"/>
    <w:rsid w:val="00015A80"/>
    <w:rsid w:val="0002389A"/>
    <w:rsid w:val="00024105"/>
    <w:rsid w:val="0003303D"/>
    <w:rsid w:val="000377D8"/>
    <w:rsid w:val="00074B43"/>
    <w:rsid w:val="0008336D"/>
    <w:rsid w:val="00084D3B"/>
    <w:rsid w:val="00086369"/>
    <w:rsid w:val="000C2877"/>
    <w:rsid w:val="000C75E3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63A2D"/>
    <w:rsid w:val="00166FDB"/>
    <w:rsid w:val="001760E5"/>
    <w:rsid w:val="001819B0"/>
    <w:rsid w:val="001858F7"/>
    <w:rsid w:val="00194A1E"/>
    <w:rsid w:val="001B6CAC"/>
    <w:rsid w:val="001C7B3E"/>
    <w:rsid w:val="001D4967"/>
    <w:rsid w:val="001D588B"/>
    <w:rsid w:val="001E13FA"/>
    <w:rsid w:val="001E4F56"/>
    <w:rsid w:val="001F309B"/>
    <w:rsid w:val="001F3F43"/>
    <w:rsid w:val="001F4A41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55207"/>
    <w:rsid w:val="00265632"/>
    <w:rsid w:val="002712D7"/>
    <w:rsid w:val="00272877"/>
    <w:rsid w:val="00272BF0"/>
    <w:rsid w:val="00276EF6"/>
    <w:rsid w:val="002830AD"/>
    <w:rsid w:val="0028490E"/>
    <w:rsid w:val="00286428"/>
    <w:rsid w:val="00286E5E"/>
    <w:rsid w:val="00296DAB"/>
    <w:rsid w:val="002A3BD8"/>
    <w:rsid w:val="002B25A7"/>
    <w:rsid w:val="002E38C5"/>
    <w:rsid w:val="002F5AAC"/>
    <w:rsid w:val="002F7B90"/>
    <w:rsid w:val="00300997"/>
    <w:rsid w:val="003215AC"/>
    <w:rsid w:val="003269EC"/>
    <w:rsid w:val="00332FDF"/>
    <w:rsid w:val="003453A9"/>
    <w:rsid w:val="0035322A"/>
    <w:rsid w:val="003549CF"/>
    <w:rsid w:val="00355B36"/>
    <w:rsid w:val="00356CAC"/>
    <w:rsid w:val="00360C1E"/>
    <w:rsid w:val="00363D83"/>
    <w:rsid w:val="0036656D"/>
    <w:rsid w:val="00370985"/>
    <w:rsid w:val="003B454E"/>
    <w:rsid w:val="003B51A6"/>
    <w:rsid w:val="003B6D06"/>
    <w:rsid w:val="003C3FF2"/>
    <w:rsid w:val="003D1D68"/>
    <w:rsid w:val="003D2C65"/>
    <w:rsid w:val="003D55C0"/>
    <w:rsid w:val="003D672A"/>
    <w:rsid w:val="003D695C"/>
    <w:rsid w:val="003E2C18"/>
    <w:rsid w:val="003E5502"/>
    <w:rsid w:val="003E5ED9"/>
    <w:rsid w:val="003F0B62"/>
    <w:rsid w:val="00411549"/>
    <w:rsid w:val="004168C5"/>
    <w:rsid w:val="004174DA"/>
    <w:rsid w:val="00421C93"/>
    <w:rsid w:val="00423743"/>
    <w:rsid w:val="00423EF2"/>
    <w:rsid w:val="004241D0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78EC"/>
    <w:rsid w:val="004A02C8"/>
    <w:rsid w:val="004B21F3"/>
    <w:rsid w:val="004C1EB5"/>
    <w:rsid w:val="004C1FA0"/>
    <w:rsid w:val="004D3BD9"/>
    <w:rsid w:val="004D5BAE"/>
    <w:rsid w:val="004E2759"/>
    <w:rsid w:val="005220FC"/>
    <w:rsid w:val="0052306B"/>
    <w:rsid w:val="0052688F"/>
    <w:rsid w:val="00526CE7"/>
    <w:rsid w:val="005333BB"/>
    <w:rsid w:val="005372E4"/>
    <w:rsid w:val="00540E46"/>
    <w:rsid w:val="00542EA5"/>
    <w:rsid w:val="00546EC0"/>
    <w:rsid w:val="00555312"/>
    <w:rsid w:val="005578E8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D5980"/>
    <w:rsid w:val="005E14DA"/>
    <w:rsid w:val="005E7A38"/>
    <w:rsid w:val="005E7C65"/>
    <w:rsid w:val="005F26B5"/>
    <w:rsid w:val="005F289B"/>
    <w:rsid w:val="005F47B6"/>
    <w:rsid w:val="005F55C3"/>
    <w:rsid w:val="00602B62"/>
    <w:rsid w:val="00606E6A"/>
    <w:rsid w:val="00610064"/>
    <w:rsid w:val="006134FF"/>
    <w:rsid w:val="00622BB0"/>
    <w:rsid w:val="006503E7"/>
    <w:rsid w:val="0065393E"/>
    <w:rsid w:val="00654C1A"/>
    <w:rsid w:val="00657EF9"/>
    <w:rsid w:val="006637B6"/>
    <w:rsid w:val="0066751B"/>
    <w:rsid w:val="00670373"/>
    <w:rsid w:val="00675382"/>
    <w:rsid w:val="00683AD6"/>
    <w:rsid w:val="006A2586"/>
    <w:rsid w:val="006A270F"/>
    <w:rsid w:val="006A32F5"/>
    <w:rsid w:val="006C519C"/>
    <w:rsid w:val="006E73A4"/>
    <w:rsid w:val="006F06F0"/>
    <w:rsid w:val="006F743F"/>
    <w:rsid w:val="006F7509"/>
    <w:rsid w:val="0071097A"/>
    <w:rsid w:val="0074027D"/>
    <w:rsid w:val="00747E59"/>
    <w:rsid w:val="0075364B"/>
    <w:rsid w:val="00753C79"/>
    <w:rsid w:val="007637EC"/>
    <w:rsid w:val="00773AC1"/>
    <w:rsid w:val="00784FE7"/>
    <w:rsid w:val="007A3336"/>
    <w:rsid w:val="007B6A1D"/>
    <w:rsid w:val="007C34FE"/>
    <w:rsid w:val="007D2A1D"/>
    <w:rsid w:val="007E33A3"/>
    <w:rsid w:val="007F14A6"/>
    <w:rsid w:val="00801B35"/>
    <w:rsid w:val="008036E7"/>
    <w:rsid w:val="00803F80"/>
    <w:rsid w:val="00805A34"/>
    <w:rsid w:val="00810178"/>
    <w:rsid w:val="00820383"/>
    <w:rsid w:val="00825D6E"/>
    <w:rsid w:val="00840313"/>
    <w:rsid w:val="00841C19"/>
    <w:rsid w:val="00844E38"/>
    <w:rsid w:val="0085047E"/>
    <w:rsid w:val="008630FF"/>
    <w:rsid w:val="0087092C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1614A"/>
    <w:rsid w:val="0093290E"/>
    <w:rsid w:val="00934E4E"/>
    <w:rsid w:val="00951E1D"/>
    <w:rsid w:val="0097135A"/>
    <w:rsid w:val="009826E8"/>
    <w:rsid w:val="00986F8A"/>
    <w:rsid w:val="00987CE9"/>
    <w:rsid w:val="00994540"/>
    <w:rsid w:val="00995773"/>
    <w:rsid w:val="009A4E8D"/>
    <w:rsid w:val="009A6285"/>
    <w:rsid w:val="009B4AD7"/>
    <w:rsid w:val="009C2B3E"/>
    <w:rsid w:val="009C3177"/>
    <w:rsid w:val="009C52C7"/>
    <w:rsid w:val="009C58A0"/>
    <w:rsid w:val="009D1501"/>
    <w:rsid w:val="009E0ABC"/>
    <w:rsid w:val="009E2E6B"/>
    <w:rsid w:val="009E5A48"/>
    <w:rsid w:val="009F6AAA"/>
    <w:rsid w:val="009F7DF5"/>
    <w:rsid w:val="00A027F1"/>
    <w:rsid w:val="00A054C6"/>
    <w:rsid w:val="00A11B88"/>
    <w:rsid w:val="00A16E0D"/>
    <w:rsid w:val="00A221C0"/>
    <w:rsid w:val="00A27902"/>
    <w:rsid w:val="00A30CE6"/>
    <w:rsid w:val="00A364D8"/>
    <w:rsid w:val="00A52AB8"/>
    <w:rsid w:val="00A5548B"/>
    <w:rsid w:val="00A623A0"/>
    <w:rsid w:val="00A73790"/>
    <w:rsid w:val="00A73B7E"/>
    <w:rsid w:val="00A75A0C"/>
    <w:rsid w:val="00A83864"/>
    <w:rsid w:val="00A84A23"/>
    <w:rsid w:val="00AA1E19"/>
    <w:rsid w:val="00AB01CC"/>
    <w:rsid w:val="00AC7301"/>
    <w:rsid w:val="00AD3421"/>
    <w:rsid w:val="00AD363A"/>
    <w:rsid w:val="00AD3B79"/>
    <w:rsid w:val="00AF0B00"/>
    <w:rsid w:val="00B023E9"/>
    <w:rsid w:val="00B03715"/>
    <w:rsid w:val="00B05D9A"/>
    <w:rsid w:val="00B07929"/>
    <w:rsid w:val="00B17EFE"/>
    <w:rsid w:val="00B20205"/>
    <w:rsid w:val="00B27C17"/>
    <w:rsid w:val="00B3136F"/>
    <w:rsid w:val="00B41067"/>
    <w:rsid w:val="00B4298B"/>
    <w:rsid w:val="00B4364F"/>
    <w:rsid w:val="00B44136"/>
    <w:rsid w:val="00B45593"/>
    <w:rsid w:val="00B51BB0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0E64"/>
    <w:rsid w:val="00BA75E4"/>
    <w:rsid w:val="00BC111B"/>
    <w:rsid w:val="00BC29DD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66EE"/>
    <w:rsid w:val="00C45EA9"/>
    <w:rsid w:val="00C463D2"/>
    <w:rsid w:val="00C50939"/>
    <w:rsid w:val="00C57FBD"/>
    <w:rsid w:val="00C660AA"/>
    <w:rsid w:val="00C82292"/>
    <w:rsid w:val="00C90806"/>
    <w:rsid w:val="00CA0754"/>
    <w:rsid w:val="00CA4970"/>
    <w:rsid w:val="00CA5CAF"/>
    <w:rsid w:val="00CA7069"/>
    <w:rsid w:val="00CB1133"/>
    <w:rsid w:val="00CB230E"/>
    <w:rsid w:val="00CC2145"/>
    <w:rsid w:val="00CC3571"/>
    <w:rsid w:val="00CD2022"/>
    <w:rsid w:val="00CD222C"/>
    <w:rsid w:val="00CD3A4C"/>
    <w:rsid w:val="00CD4C62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2DE8"/>
    <w:rsid w:val="00DA5C5E"/>
    <w:rsid w:val="00DB65DA"/>
    <w:rsid w:val="00DB7463"/>
    <w:rsid w:val="00DC075B"/>
    <w:rsid w:val="00DC36BE"/>
    <w:rsid w:val="00DD1ACA"/>
    <w:rsid w:val="00DE3458"/>
    <w:rsid w:val="00DF4268"/>
    <w:rsid w:val="00DF5BBB"/>
    <w:rsid w:val="00DF7D22"/>
    <w:rsid w:val="00E01F2A"/>
    <w:rsid w:val="00E142C3"/>
    <w:rsid w:val="00E17DD5"/>
    <w:rsid w:val="00E21488"/>
    <w:rsid w:val="00E4634E"/>
    <w:rsid w:val="00E556F4"/>
    <w:rsid w:val="00E55A5F"/>
    <w:rsid w:val="00E60609"/>
    <w:rsid w:val="00E857F3"/>
    <w:rsid w:val="00EA4232"/>
    <w:rsid w:val="00EB54FC"/>
    <w:rsid w:val="00EC6B66"/>
    <w:rsid w:val="00ED11CA"/>
    <w:rsid w:val="00ED47ED"/>
    <w:rsid w:val="00ED5C7B"/>
    <w:rsid w:val="00EE33EB"/>
    <w:rsid w:val="00EE3A31"/>
    <w:rsid w:val="00F03F7F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C7036"/>
    <w:rsid w:val="00FD3EA6"/>
    <w:rsid w:val="00FE2C74"/>
    <w:rsid w:val="00FE651F"/>
    <w:rsid w:val="00FF3CEE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A5CA-5F13-45FD-9000-6CB5C60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Ingredion Brasil </vt:lpstr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Ingredion Brasil </dc:title>
  <dc:creator/>
  <dc:description>Transferência Interestadual para Industrialização com Subsequente Exportação sem Retorno ao Estabelecimento de Origem</dc:description>
  <cp:lastModifiedBy>Thereza Marina Cunha M. Cunha</cp:lastModifiedBy>
  <cp:revision>52</cp:revision>
  <cp:lastPrinted>2016-02-19T14:24:00Z</cp:lastPrinted>
  <dcterms:created xsi:type="dcterms:W3CDTF">2015-11-03T17:24:00Z</dcterms:created>
  <dcterms:modified xsi:type="dcterms:W3CDTF">2016-04-08T20:45:00Z</dcterms:modified>
  <cp:category>E04-0291328-15</cp:category>
</cp:coreProperties>
</file>