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1F7132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E01F2A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E01F2A" w:rsidP="00E01F2A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E74D38" w:rsidP="006574FC">
            <w:pPr>
              <w:pStyle w:val="Ttulo2"/>
              <w:ind w:right="72"/>
              <w:jc w:val="both"/>
              <w:rPr>
                <w:rFonts w:ascii="Times New Roman" w:hAnsi="Times New Roman"/>
                <w:szCs w:val="22"/>
              </w:rPr>
            </w:pPr>
            <w:bookmarkStart w:id="0" w:name="OLE_LINK1"/>
            <w:bookmarkStart w:id="1" w:name="OLE_LINK2"/>
            <w:r w:rsidRPr="00360BFA">
              <w:rPr>
                <w:rFonts w:ascii="Times New Roman" w:hAnsi="Times New Roman"/>
                <w:szCs w:val="22"/>
              </w:rPr>
              <w:t xml:space="preserve">Sucata.  </w:t>
            </w:r>
            <w:r w:rsidR="00B030E9" w:rsidRPr="00360BFA">
              <w:rPr>
                <w:rFonts w:ascii="Times New Roman" w:hAnsi="Times New Roman"/>
                <w:szCs w:val="22"/>
              </w:rPr>
              <w:t xml:space="preserve">Remessa Interestadual: </w:t>
            </w:r>
            <w:r w:rsidR="0015492A" w:rsidRPr="00360BFA">
              <w:rPr>
                <w:rFonts w:ascii="Times New Roman" w:hAnsi="Times New Roman"/>
                <w:szCs w:val="22"/>
              </w:rPr>
              <w:t>Paga</w:t>
            </w:r>
            <w:r w:rsidR="00B030E9" w:rsidRPr="00360BFA">
              <w:rPr>
                <w:rFonts w:ascii="Times New Roman" w:hAnsi="Times New Roman"/>
                <w:szCs w:val="22"/>
              </w:rPr>
              <w:t xml:space="preserve">mento Segundo as Normas Gerais de </w:t>
            </w:r>
            <w:r w:rsidR="00C9206C" w:rsidRPr="00360BFA">
              <w:rPr>
                <w:rFonts w:ascii="Times New Roman" w:hAnsi="Times New Roman"/>
                <w:szCs w:val="22"/>
              </w:rPr>
              <w:t>Tributação</w:t>
            </w:r>
            <w:r w:rsidR="00B030E9" w:rsidRPr="00360BFA">
              <w:rPr>
                <w:rFonts w:ascii="Times New Roman" w:hAnsi="Times New Roman"/>
                <w:szCs w:val="22"/>
              </w:rPr>
              <w:t>. Saídas Internas: Diferimento. Responsabilidade do Industrial.  Direito ao Crédito</w:t>
            </w:r>
            <w:bookmarkEnd w:id="0"/>
            <w:bookmarkEnd w:id="1"/>
            <w:r w:rsidR="00B030E9">
              <w:rPr>
                <w:rFonts w:ascii="Times New Roman" w:hAnsi="Times New Roman"/>
                <w:szCs w:val="22"/>
              </w:rPr>
              <w:t>.</w:t>
            </w:r>
            <w:r w:rsidR="00D35C6A">
              <w:rPr>
                <w:rFonts w:ascii="Times New Roman" w:hAnsi="Times New Roman"/>
                <w:szCs w:val="22"/>
              </w:rPr>
              <w:t xml:space="preserve"> Substituição Tributária. Protocolo ICMS 44/13. </w:t>
            </w:r>
            <w:r w:rsidR="00D35C6A" w:rsidRPr="00522171">
              <w:rPr>
                <w:rFonts w:ascii="Times New Roman" w:hAnsi="Times New Roman"/>
              </w:rPr>
              <w:t xml:space="preserve">Alteração </w:t>
            </w:r>
            <w:r w:rsidR="00D35C6A" w:rsidRPr="003E6B1F">
              <w:rPr>
                <w:rFonts w:ascii="Times New Roman" w:hAnsi="Times New Roman"/>
                <w:i/>
              </w:rPr>
              <w:t>Ex</w:t>
            </w:r>
            <w:r w:rsidR="006574FC">
              <w:rPr>
                <w:rFonts w:ascii="Times New Roman" w:hAnsi="Times New Roman"/>
                <w:i/>
              </w:rPr>
              <w:t xml:space="preserve"> </w:t>
            </w:r>
            <w:r w:rsidR="00D35C6A" w:rsidRPr="003E6B1F">
              <w:rPr>
                <w:rFonts w:ascii="Times New Roman" w:hAnsi="Times New Roman"/>
                <w:i/>
              </w:rPr>
              <w:t>Officio</w:t>
            </w:r>
            <w:r w:rsidR="00D35C6A" w:rsidRPr="00522171">
              <w:rPr>
                <w:rFonts w:ascii="Times New Roman" w:hAnsi="Times New Roman"/>
              </w:rPr>
              <w:t xml:space="preserve"> da Consulta n.° </w:t>
            </w:r>
            <w:r w:rsidR="00D35C6A">
              <w:rPr>
                <w:rFonts w:ascii="Times New Roman" w:hAnsi="Times New Roman"/>
              </w:rPr>
              <w:t>162</w:t>
            </w:r>
            <w:r w:rsidR="00D35C6A" w:rsidRPr="00522171">
              <w:rPr>
                <w:rFonts w:ascii="Times New Roman" w:hAnsi="Times New Roman"/>
              </w:rPr>
              <w:t>/1</w:t>
            </w:r>
            <w:r w:rsidR="00D35C6A">
              <w:rPr>
                <w:rFonts w:ascii="Times New Roman" w:hAnsi="Times New Roman"/>
              </w:rPr>
              <w:t>4</w:t>
            </w:r>
            <w:r w:rsidR="00D35C6A" w:rsidRPr="00B20EC7">
              <w:rPr>
                <w:rFonts w:ascii="Times New Roman" w:hAnsi="Times New Roman"/>
              </w:rPr>
              <w:t>.</w:t>
            </w:r>
            <w:r w:rsidR="00D35C6A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1F7132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E01F2A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E01F2A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BD1745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Consulta nº</w:t>
            </w:r>
            <w:r w:rsidR="00D35C6A">
              <w:rPr>
                <w:rFonts w:ascii="Times New Roman" w:hAnsi="Times New Roman"/>
                <w:szCs w:val="22"/>
              </w:rPr>
              <w:t xml:space="preserve"> </w:t>
            </w:r>
            <w:r w:rsidR="00766220">
              <w:rPr>
                <w:rFonts w:ascii="Times New Roman" w:hAnsi="Times New Roman"/>
                <w:szCs w:val="22"/>
              </w:rPr>
              <w:t xml:space="preserve"> 087</w:t>
            </w:r>
            <w:r w:rsidR="00D35C6A">
              <w:rPr>
                <w:rFonts w:ascii="Times New Roman" w:hAnsi="Times New Roman"/>
                <w:szCs w:val="22"/>
              </w:rPr>
              <w:t xml:space="preserve"> </w:t>
            </w:r>
            <w:r w:rsidRPr="006F06F0">
              <w:rPr>
                <w:rFonts w:ascii="Times New Roman" w:hAnsi="Times New Roman"/>
                <w:szCs w:val="22"/>
              </w:rPr>
              <w:t>/1</w:t>
            </w:r>
            <w:r w:rsidR="00D35C6A">
              <w:rPr>
                <w:rFonts w:ascii="Times New Roman" w:hAnsi="Times New Roman"/>
                <w:szCs w:val="22"/>
              </w:rPr>
              <w:t>6</w:t>
            </w:r>
            <w:bookmarkStart w:id="2" w:name="_GoBack"/>
            <w:bookmarkEnd w:id="2"/>
          </w:p>
          <w:p w:rsidR="009D1501" w:rsidRPr="006F06F0" w:rsidRDefault="009D1501" w:rsidP="00BD1745">
            <w:pPr>
              <w:ind w:right="72"/>
              <w:jc w:val="right"/>
              <w:rPr>
                <w:rFonts w:ascii="Times New Roman" w:hAnsi="Times New Roman" w:cs="Times New Roman"/>
                <w:lang w:eastAsia="pt-BR"/>
              </w:rPr>
            </w:pPr>
          </w:p>
        </w:tc>
      </w:tr>
    </w:tbl>
    <w:p w:rsidR="00360C1E" w:rsidRDefault="00F968E2" w:rsidP="00C763DB">
      <w:pPr>
        <w:spacing w:after="0" w:line="360" w:lineRule="auto"/>
        <w:ind w:left="707" w:right="-852" w:firstLine="709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  <w:r w:rsidR="008E487B">
        <w:rPr>
          <w:rFonts w:ascii="Times New Roman" w:hAnsi="Times New Roman" w:cs="Times New Roman"/>
          <w:b/>
        </w:rPr>
        <w:t>:</w:t>
      </w:r>
    </w:p>
    <w:p w:rsidR="0060127B" w:rsidRDefault="0060127B" w:rsidP="00C763DB">
      <w:pPr>
        <w:spacing w:after="0" w:line="360" w:lineRule="auto"/>
        <w:ind w:left="707" w:right="-852" w:firstLine="709"/>
        <w:rPr>
          <w:rFonts w:ascii="Times New Roman" w:hAnsi="Times New Roman" w:cs="Times New Roman"/>
          <w:b/>
        </w:rPr>
      </w:pPr>
    </w:p>
    <w:p w:rsidR="00CD36EB" w:rsidRDefault="0060127B" w:rsidP="00CD36EB">
      <w:pPr>
        <w:tabs>
          <w:tab w:val="left" w:pos="567"/>
          <w:tab w:val="left" w:pos="709"/>
        </w:tabs>
        <w:spacing w:after="0" w:line="360" w:lineRule="auto"/>
        <w:ind w:right="-964" w:firstLine="709"/>
        <w:jc w:val="both"/>
        <w:rPr>
          <w:rFonts w:ascii="Times New Roman" w:hAnsi="Times New Roman" w:cs="Times New Roman"/>
        </w:rPr>
      </w:pPr>
      <w:r w:rsidRPr="0060127B">
        <w:rPr>
          <w:rFonts w:ascii="Times New Roman" w:hAnsi="Times New Roman" w:cs="Times New Roman"/>
        </w:rPr>
        <w:t>A empresa</w:t>
      </w:r>
      <w:r>
        <w:rPr>
          <w:rFonts w:ascii="Times New Roman" w:hAnsi="Times New Roman" w:cs="Times New Roman"/>
        </w:rPr>
        <w:t xml:space="preserve">, tendo por atividade principal “metalurgia de outros </w:t>
      </w:r>
      <w:r w:rsidR="00A353CA">
        <w:rPr>
          <w:rFonts w:ascii="Times New Roman" w:hAnsi="Times New Roman" w:cs="Times New Roman"/>
        </w:rPr>
        <w:t>materiais</w:t>
      </w:r>
      <w:r>
        <w:rPr>
          <w:rFonts w:ascii="Times New Roman" w:hAnsi="Times New Roman" w:cs="Times New Roman"/>
        </w:rPr>
        <w:t xml:space="preserve"> não ferrosos e suas ligas não especificadas anteriormente – CNAE 2449-1/99”</w:t>
      </w:r>
      <w:proofErr w:type="gramStart"/>
      <w:r w:rsidR="00A353CA">
        <w:rPr>
          <w:rFonts w:ascii="Times New Roman" w:hAnsi="Times New Roman" w:cs="Times New Roman"/>
        </w:rPr>
        <w:t xml:space="preserve">, </w:t>
      </w:r>
      <w:r w:rsidR="00A80205">
        <w:rPr>
          <w:rFonts w:ascii="Times New Roman" w:hAnsi="Times New Roman" w:cs="Times New Roman"/>
        </w:rPr>
        <w:t>expõe</w:t>
      </w:r>
      <w:proofErr w:type="gramEnd"/>
      <w:r w:rsidR="00A80205">
        <w:rPr>
          <w:rFonts w:ascii="Times New Roman" w:hAnsi="Times New Roman" w:cs="Times New Roman"/>
        </w:rPr>
        <w:t xml:space="preserve"> e requer o que segue.</w:t>
      </w:r>
    </w:p>
    <w:p w:rsidR="00CD36EB" w:rsidRDefault="00CD36EB" w:rsidP="00CD36EB">
      <w:pPr>
        <w:tabs>
          <w:tab w:val="left" w:pos="567"/>
          <w:tab w:val="left" w:pos="709"/>
        </w:tabs>
        <w:spacing w:after="0" w:line="360" w:lineRule="auto"/>
        <w:ind w:right="-964" w:firstLine="709"/>
        <w:jc w:val="both"/>
        <w:rPr>
          <w:rFonts w:ascii="Times New Roman" w:hAnsi="Times New Roman" w:cs="Times New Roman"/>
        </w:rPr>
      </w:pPr>
    </w:p>
    <w:p w:rsidR="00CD36EB" w:rsidRDefault="00A80205" w:rsidP="00CD36EB">
      <w:pPr>
        <w:tabs>
          <w:tab w:val="left" w:pos="567"/>
          <w:tab w:val="left" w:pos="709"/>
        </w:tabs>
        <w:spacing w:after="0" w:line="360" w:lineRule="auto"/>
        <w:ind w:right="-96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requerente </w:t>
      </w:r>
      <w:r w:rsidR="00CA32CE">
        <w:rPr>
          <w:rFonts w:ascii="Times New Roman" w:hAnsi="Times New Roman" w:cs="Times New Roman"/>
        </w:rPr>
        <w:t xml:space="preserve">afirma </w:t>
      </w:r>
      <w:r w:rsidR="00C80E92">
        <w:rPr>
          <w:rFonts w:ascii="Times New Roman" w:hAnsi="Times New Roman" w:cs="Times New Roman"/>
        </w:rPr>
        <w:t xml:space="preserve">que </w:t>
      </w:r>
      <w:r>
        <w:rPr>
          <w:rFonts w:ascii="Times New Roman" w:hAnsi="Times New Roman" w:cs="Times New Roman"/>
        </w:rPr>
        <w:t xml:space="preserve">necessita de </w:t>
      </w:r>
      <w:r w:rsidR="00CA32CE">
        <w:rPr>
          <w:rFonts w:ascii="Times New Roman" w:hAnsi="Times New Roman" w:cs="Times New Roman"/>
        </w:rPr>
        <w:t>Tratamento Tributário Especial</w:t>
      </w:r>
      <w:r>
        <w:rPr>
          <w:rFonts w:ascii="Times New Roman" w:hAnsi="Times New Roman" w:cs="Times New Roman"/>
        </w:rPr>
        <w:t xml:space="preserve"> previsto</w:t>
      </w:r>
      <w:r w:rsidR="00D61CD4">
        <w:rPr>
          <w:rFonts w:ascii="Times New Roman" w:hAnsi="Times New Roman" w:cs="Times New Roman"/>
        </w:rPr>
        <w:t xml:space="preserve"> nos artigos 219 e 220 (sic)</w:t>
      </w:r>
      <w:r>
        <w:rPr>
          <w:rFonts w:ascii="Times New Roman" w:hAnsi="Times New Roman" w:cs="Times New Roman"/>
        </w:rPr>
        <w:t xml:space="preserve"> </w:t>
      </w:r>
      <w:r w:rsidR="00CA32C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 Livro VI do Regulamento do ICMS</w:t>
      </w:r>
      <w:r w:rsidR="00C80E92">
        <w:rPr>
          <w:rFonts w:ascii="Times New Roman" w:hAnsi="Times New Roman" w:cs="Times New Roman"/>
        </w:rPr>
        <w:t xml:space="preserve"> – RICMS/00</w:t>
      </w:r>
      <w:r>
        <w:rPr>
          <w:rFonts w:ascii="Times New Roman" w:hAnsi="Times New Roman" w:cs="Times New Roman"/>
        </w:rPr>
        <w:t xml:space="preserve">, </w:t>
      </w:r>
      <w:r w:rsidR="005B3F98">
        <w:rPr>
          <w:rFonts w:ascii="Times New Roman" w:hAnsi="Times New Roman" w:cs="Times New Roman"/>
        </w:rPr>
        <w:t xml:space="preserve">aprovado pelo Decreto n.º 27.427/00, </w:t>
      </w:r>
      <w:r w:rsidR="00C80E92">
        <w:rPr>
          <w:rFonts w:ascii="Times New Roman" w:hAnsi="Times New Roman" w:cs="Times New Roman"/>
        </w:rPr>
        <w:t>para que não lhe sejam aplicadas as regras contidas no Livro XII do RICMS/00, que estabelece o recolhimento do ICMS nas operações com sucata de cobre, por DARJ, independentemente do resultado do confronto entre débitos e cr</w:t>
      </w:r>
      <w:r w:rsidR="005B3F98">
        <w:rPr>
          <w:rFonts w:ascii="Times New Roman" w:hAnsi="Times New Roman" w:cs="Times New Roman"/>
        </w:rPr>
        <w:t>éditos.</w:t>
      </w:r>
    </w:p>
    <w:p w:rsidR="00CD36EB" w:rsidRDefault="00CD36EB" w:rsidP="00CD36EB">
      <w:pPr>
        <w:tabs>
          <w:tab w:val="left" w:pos="567"/>
          <w:tab w:val="left" w:pos="709"/>
        </w:tabs>
        <w:spacing w:after="0" w:line="360" w:lineRule="auto"/>
        <w:ind w:right="-964" w:firstLine="709"/>
        <w:jc w:val="both"/>
        <w:rPr>
          <w:rFonts w:ascii="Times New Roman" w:hAnsi="Times New Roman" w:cs="Times New Roman"/>
        </w:rPr>
      </w:pPr>
    </w:p>
    <w:p w:rsidR="00CD36EB" w:rsidRDefault="005B3F98" w:rsidP="00CD36EB">
      <w:pPr>
        <w:tabs>
          <w:tab w:val="left" w:pos="567"/>
          <w:tab w:val="left" w:pos="709"/>
        </w:tabs>
        <w:spacing w:after="0" w:line="360" w:lineRule="auto"/>
        <w:ind w:right="-96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 o RICMS/00:</w:t>
      </w:r>
    </w:p>
    <w:p w:rsidR="00CD36EB" w:rsidRDefault="00CD36EB" w:rsidP="00CD36EB">
      <w:pPr>
        <w:tabs>
          <w:tab w:val="left" w:pos="567"/>
          <w:tab w:val="left" w:pos="709"/>
        </w:tabs>
        <w:spacing w:after="0" w:line="360" w:lineRule="auto"/>
        <w:ind w:right="-964" w:firstLine="709"/>
        <w:jc w:val="both"/>
        <w:rPr>
          <w:rFonts w:ascii="Times New Roman" w:hAnsi="Times New Roman" w:cs="Times New Roman"/>
        </w:rPr>
      </w:pPr>
    </w:p>
    <w:p w:rsidR="00CD36EB" w:rsidRDefault="005B3F98" w:rsidP="00CD36EB">
      <w:pPr>
        <w:tabs>
          <w:tab w:val="left" w:pos="567"/>
          <w:tab w:val="left" w:pos="709"/>
        </w:tabs>
        <w:spacing w:after="0" w:line="360" w:lineRule="auto"/>
        <w:ind w:right="-96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Exige a comprovação do recolhimento do ICMS na origem, no recebimento de sucatas de outras unidades da Federação</w:t>
      </w:r>
      <w:r w:rsidR="00CA32CE">
        <w:rPr>
          <w:rFonts w:ascii="Times New Roman" w:hAnsi="Times New Roman" w:cs="Times New Roman"/>
        </w:rPr>
        <w:t xml:space="preserve">, e, </w:t>
      </w:r>
      <w:r>
        <w:rPr>
          <w:rFonts w:ascii="Times New Roman" w:hAnsi="Times New Roman" w:cs="Times New Roman"/>
        </w:rPr>
        <w:t>no entanto, outras unidades estabelecem o pagamento do ICMS por apuração;</w:t>
      </w:r>
    </w:p>
    <w:p w:rsidR="00CD36EB" w:rsidRDefault="00CD36EB" w:rsidP="00CD36EB">
      <w:pPr>
        <w:tabs>
          <w:tab w:val="left" w:pos="567"/>
          <w:tab w:val="left" w:pos="709"/>
        </w:tabs>
        <w:spacing w:after="0" w:line="360" w:lineRule="auto"/>
        <w:ind w:right="-964" w:firstLine="709"/>
        <w:jc w:val="both"/>
        <w:rPr>
          <w:rFonts w:ascii="Times New Roman" w:hAnsi="Times New Roman" w:cs="Times New Roman"/>
        </w:rPr>
      </w:pPr>
    </w:p>
    <w:p w:rsidR="00CD36EB" w:rsidRDefault="005B3F98" w:rsidP="00CD36EB">
      <w:pPr>
        <w:tabs>
          <w:tab w:val="left" w:pos="567"/>
          <w:tab w:val="left" w:pos="709"/>
        </w:tabs>
        <w:spacing w:after="0" w:line="360" w:lineRule="auto"/>
        <w:ind w:right="-96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22AA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termina que nas vendas</w:t>
      </w:r>
      <w:r w:rsidR="002351A8">
        <w:rPr>
          <w:rFonts w:ascii="Times New Roman" w:hAnsi="Times New Roman" w:cs="Times New Roman"/>
        </w:rPr>
        <w:t xml:space="preserve"> interestaduais ou remessa</w:t>
      </w:r>
      <w:r w:rsidR="006E153E">
        <w:rPr>
          <w:rFonts w:ascii="Times New Roman" w:hAnsi="Times New Roman" w:cs="Times New Roman"/>
        </w:rPr>
        <w:t>s</w:t>
      </w:r>
      <w:r w:rsidR="002351A8">
        <w:rPr>
          <w:rFonts w:ascii="Times New Roman" w:hAnsi="Times New Roman" w:cs="Times New Roman"/>
        </w:rPr>
        <w:t xml:space="preserve"> para industrialização em </w:t>
      </w:r>
      <w:r>
        <w:rPr>
          <w:rFonts w:ascii="Times New Roman" w:hAnsi="Times New Roman" w:cs="Times New Roman"/>
        </w:rPr>
        <w:t>outros Estados, o contribuinte fluminense deverá fazer o recolhimento antecipado do ICMS, e, dessa forma, não poderá utilizar os crédito</w:t>
      </w:r>
      <w:r w:rsidR="002351A8">
        <w:rPr>
          <w:rFonts w:ascii="Times New Roman" w:hAnsi="Times New Roman" w:cs="Times New Roman"/>
        </w:rPr>
        <w:t>s do ICMS que estiver acumulado, aumentando o crédito em seus livros fiscais;</w:t>
      </w:r>
    </w:p>
    <w:p w:rsidR="001D7144" w:rsidRDefault="001D7144" w:rsidP="00CD36EB">
      <w:pPr>
        <w:tabs>
          <w:tab w:val="left" w:pos="567"/>
          <w:tab w:val="left" w:pos="709"/>
        </w:tabs>
        <w:spacing w:after="0" w:line="360" w:lineRule="auto"/>
        <w:ind w:right="-964" w:firstLine="709"/>
        <w:jc w:val="both"/>
        <w:rPr>
          <w:rFonts w:ascii="Times New Roman" w:hAnsi="Times New Roman" w:cs="Times New Roman"/>
        </w:rPr>
      </w:pPr>
    </w:p>
    <w:p w:rsidR="00CD36EB" w:rsidRDefault="002351A8" w:rsidP="00CD36EB">
      <w:pPr>
        <w:tabs>
          <w:tab w:val="left" w:pos="567"/>
          <w:tab w:val="left" w:pos="709"/>
        </w:tabs>
        <w:spacing w:after="0" w:line="360" w:lineRule="auto"/>
        <w:ind w:right="-96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32CE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>Livro XII, nas sucessivas saídas dentro do Estado caberia o recolhimento do ICMS sobre a sucata no retorno do material industrializado para clientes, com a cobrança do referido imposto do cliente, que nesse caso pagaria o ICMS duas vezes, tanto na remessa para industrialização, como também no retorno, o que inviabilizaria a operação comercial;</w:t>
      </w:r>
    </w:p>
    <w:p w:rsidR="00CD36EB" w:rsidRDefault="00CD36EB" w:rsidP="00CD36EB">
      <w:pPr>
        <w:tabs>
          <w:tab w:val="left" w:pos="567"/>
          <w:tab w:val="left" w:pos="709"/>
        </w:tabs>
        <w:spacing w:after="0" w:line="360" w:lineRule="auto"/>
        <w:ind w:right="-964" w:firstLine="709"/>
        <w:jc w:val="both"/>
        <w:rPr>
          <w:rFonts w:ascii="Times New Roman" w:hAnsi="Times New Roman" w:cs="Times New Roman"/>
        </w:rPr>
      </w:pPr>
    </w:p>
    <w:p w:rsidR="00CD36EB" w:rsidRDefault="002351A8" w:rsidP="00CD36EB">
      <w:pPr>
        <w:tabs>
          <w:tab w:val="left" w:pos="567"/>
          <w:tab w:val="left" w:pos="709"/>
        </w:tabs>
        <w:spacing w:after="0" w:line="360" w:lineRule="auto"/>
        <w:ind w:right="-96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9760EF">
        <w:rPr>
          <w:rFonts w:ascii="Times New Roman" w:hAnsi="Times New Roman" w:cs="Times New Roman"/>
        </w:rPr>
        <w:t>Dispõe que nas compra</w:t>
      </w:r>
      <w:r w:rsidR="00D61CD4">
        <w:rPr>
          <w:rFonts w:ascii="Times New Roman" w:hAnsi="Times New Roman" w:cs="Times New Roman"/>
        </w:rPr>
        <w:t>s</w:t>
      </w:r>
      <w:r w:rsidR="009760EF">
        <w:rPr>
          <w:rFonts w:ascii="Times New Roman" w:hAnsi="Times New Roman" w:cs="Times New Roman"/>
        </w:rPr>
        <w:t xml:space="preserve"> ou recebimento</w:t>
      </w:r>
      <w:r w:rsidR="006E153E">
        <w:rPr>
          <w:rFonts w:ascii="Times New Roman" w:hAnsi="Times New Roman" w:cs="Times New Roman"/>
        </w:rPr>
        <w:t>s</w:t>
      </w:r>
      <w:r w:rsidR="009760EF">
        <w:rPr>
          <w:rFonts w:ascii="Times New Roman" w:hAnsi="Times New Roman" w:cs="Times New Roman"/>
        </w:rPr>
        <w:t xml:space="preserve"> para industrialização de sucatas dentro do Estado deverá o contribuinte fluminense recolher o ICMS na entrada da mercadoria em seu estabelecimento, ocorrendo assim acúmulo de </w:t>
      </w:r>
      <w:r w:rsidR="008C2431">
        <w:rPr>
          <w:rFonts w:ascii="Times New Roman" w:hAnsi="Times New Roman" w:cs="Times New Roman"/>
        </w:rPr>
        <w:t>mais ICMS nos livros, o que inviabilizaria a atividade econômica e a boa prática concorrencial</w:t>
      </w:r>
      <w:r w:rsidR="00A81BC3">
        <w:rPr>
          <w:rFonts w:ascii="Times New Roman" w:hAnsi="Times New Roman" w:cs="Times New Roman"/>
        </w:rPr>
        <w:t>.</w:t>
      </w:r>
    </w:p>
    <w:p w:rsidR="00CD36EB" w:rsidRDefault="00CD36EB" w:rsidP="00CD36EB">
      <w:pPr>
        <w:tabs>
          <w:tab w:val="left" w:pos="567"/>
          <w:tab w:val="left" w:pos="709"/>
        </w:tabs>
        <w:spacing w:after="0" w:line="360" w:lineRule="auto"/>
        <w:ind w:right="-964" w:firstLine="709"/>
        <w:jc w:val="both"/>
        <w:rPr>
          <w:rFonts w:ascii="Times New Roman" w:hAnsi="Times New Roman" w:cs="Times New Roman"/>
        </w:rPr>
      </w:pPr>
    </w:p>
    <w:p w:rsidR="00CD36EB" w:rsidRDefault="006E153E" w:rsidP="00CD36EB">
      <w:pPr>
        <w:tabs>
          <w:tab w:val="left" w:pos="567"/>
          <w:tab w:val="left" w:pos="709"/>
        </w:tabs>
        <w:spacing w:after="0" w:line="360" w:lineRule="auto"/>
        <w:ind w:right="-96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Pelo exposto, a </w:t>
      </w:r>
      <w:r w:rsidR="00A81BC3">
        <w:rPr>
          <w:rFonts w:ascii="Times New Roman" w:hAnsi="Times New Roman" w:cs="Times New Roman"/>
        </w:rPr>
        <w:t xml:space="preserve">requerente </w:t>
      </w:r>
      <w:r w:rsidR="00CA32CE">
        <w:rPr>
          <w:rFonts w:ascii="Times New Roman" w:hAnsi="Times New Roman" w:cs="Times New Roman"/>
        </w:rPr>
        <w:t xml:space="preserve">pleiteia </w:t>
      </w:r>
      <w:r w:rsidR="00A81BC3">
        <w:rPr>
          <w:rFonts w:ascii="Times New Roman" w:hAnsi="Times New Roman" w:cs="Times New Roman"/>
        </w:rPr>
        <w:t xml:space="preserve">tratamento especial nas operações com cobre, para que seja autorizada a utilizar regime de apuração para efetuar o recolhimento do ICMS, </w:t>
      </w:r>
      <w:r w:rsidR="00CA32CE">
        <w:rPr>
          <w:rFonts w:ascii="Times New Roman" w:hAnsi="Times New Roman" w:cs="Times New Roman"/>
        </w:rPr>
        <w:t xml:space="preserve">sendo isso </w:t>
      </w:r>
      <w:r w:rsidR="00A81BC3">
        <w:rPr>
          <w:rFonts w:ascii="Times New Roman" w:hAnsi="Times New Roman" w:cs="Times New Roman"/>
        </w:rPr>
        <w:t xml:space="preserve">imprescindível para a sua viabilidade econômica, posto que, se mantida a regra de recolhimento por DARJ, independentemente do resultado do confronto entre débitos e créditos, estará </w:t>
      </w:r>
      <w:proofErr w:type="gramStart"/>
      <w:r w:rsidR="00A81BC3">
        <w:rPr>
          <w:rFonts w:ascii="Times New Roman" w:hAnsi="Times New Roman" w:cs="Times New Roman"/>
        </w:rPr>
        <w:t>a</w:t>
      </w:r>
      <w:proofErr w:type="gramEnd"/>
      <w:r w:rsidR="00A81BC3">
        <w:rPr>
          <w:rFonts w:ascii="Times New Roman" w:hAnsi="Times New Roman" w:cs="Times New Roman"/>
        </w:rPr>
        <w:t xml:space="preserve"> mesma em absoluta desvantagem em outras unidades da Federação, alijando-a desse mercado, inviabilizando suas operações.</w:t>
      </w:r>
    </w:p>
    <w:p w:rsidR="00CD36EB" w:rsidRDefault="00CD36EB" w:rsidP="00CD36EB">
      <w:pPr>
        <w:tabs>
          <w:tab w:val="left" w:pos="567"/>
          <w:tab w:val="left" w:pos="709"/>
        </w:tabs>
        <w:spacing w:after="0" w:line="360" w:lineRule="auto"/>
        <w:ind w:right="-964" w:firstLine="709"/>
        <w:jc w:val="both"/>
        <w:rPr>
          <w:rFonts w:ascii="Times New Roman" w:hAnsi="Times New Roman" w:cs="Times New Roman"/>
        </w:rPr>
      </w:pPr>
    </w:p>
    <w:p w:rsidR="00CD36EB" w:rsidRDefault="00A81BC3" w:rsidP="00CD36EB">
      <w:pPr>
        <w:tabs>
          <w:tab w:val="left" w:pos="567"/>
          <w:tab w:val="left" w:pos="709"/>
        </w:tabs>
        <w:spacing w:after="0" w:line="360" w:lineRule="auto"/>
        <w:ind w:right="-96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Entende a requerente, portanto, ser necessário que </w:t>
      </w:r>
      <w:r w:rsidR="006E153E">
        <w:rPr>
          <w:rFonts w:ascii="Times New Roman" w:hAnsi="Times New Roman" w:cs="Times New Roman"/>
        </w:rPr>
        <w:t xml:space="preserve">lhe </w:t>
      </w:r>
      <w:r>
        <w:rPr>
          <w:rFonts w:ascii="Times New Roman" w:hAnsi="Times New Roman" w:cs="Times New Roman"/>
        </w:rPr>
        <w:t xml:space="preserve">seja concedido </w:t>
      </w:r>
      <w:r w:rsidR="00CA32CE">
        <w:rPr>
          <w:rFonts w:ascii="Times New Roman" w:hAnsi="Times New Roman" w:cs="Times New Roman"/>
        </w:rPr>
        <w:t>Tratamento Tributário Especial</w:t>
      </w:r>
      <w:r>
        <w:rPr>
          <w:rFonts w:ascii="Times New Roman" w:hAnsi="Times New Roman" w:cs="Times New Roman"/>
        </w:rPr>
        <w:t xml:space="preserve"> que a autorize a:</w:t>
      </w:r>
    </w:p>
    <w:p w:rsidR="00CD36EB" w:rsidRDefault="00CD36EB" w:rsidP="00CD36EB">
      <w:pPr>
        <w:tabs>
          <w:tab w:val="left" w:pos="567"/>
          <w:tab w:val="left" w:pos="709"/>
        </w:tabs>
        <w:spacing w:after="0" w:line="360" w:lineRule="auto"/>
        <w:ind w:right="-964" w:firstLine="709"/>
        <w:jc w:val="both"/>
        <w:rPr>
          <w:rFonts w:ascii="Times New Roman" w:hAnsi="Times New Roman" w:cs="Times New Roman"/>
        </w:rPr>
      </w:pPr>
    </w:p>
    <w:p w:rsidR="00A81BC3" w:rsidRDefault="00A81BC3" w:rsidP="00CD36EB">
      <w:pPr>
        <w:tabs>
          <w:tab w:val="left" w:pos="567"/>
          <w:tab w:val="left" w:pos="709"/>
        </w:tabs>
        <w:spacing w:after="0" w:line="360" w:lineRule="auto"/>
        <w:ind w:right="-96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Utiliza</w:t>
      </w:r>
      <w:r w:rsidR="00CA32CE">
        <w:rPr>
          <w:rFonts w:ascii="Times New Roman" w:hAnsi="Times New Roman" w:cs="Times New Roman"/>
        </w:rPr>
        <w:t>r o</w:t>
      </w:r>
      <w:r>
        <w:rPr>
          <w:rFonts w:ascii="Times New Roman" w:hAnsi="Times New Roman" w:cs="Times New Roman"/>
        </w:rPr>
        <w:t>s créditos do ICMS destacados nos DANFEs de entrada advindas de outros Estados, sem a necessidade de acompanhamento da guia de recolhimento do ICMS pago na origem.</w:t>
      </w:r>
    </w:p>
    <w:p w:rsidR="00CD36EB" w:rsidRDefault="00CD36EB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</w:p>
    <w:p w:rsidR="00CD36EB" w:rsidRDefault="00A81BC3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2D3A96">
        <w:rPr>
          <w:rFonts w:ascii="Times New Roman" w:hAnsi="Times New Roman" w:cs="Times New Roman"/>
        </w:rPr>
        <w:t>Não efetuar o recolhimento do ICMS através de DARJ em separado, antes de iniciada a remessa/saída de mercadoria para estabelecimentos situados em outros Estados, e sim o pagamento através de regime de apuração, podendo, dessa maneira, utilizar-se de créditos do ICMS que eventualmente possua em seu livro de apuração.</w:t>
      </w:r>
    </w:p>
    <w:p w:rsidR="00CD36EB" w:rsidRDefault="00CD36EB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</w:p>
    <w:p w:rsidR="00CD36EB" w:rsidRDefault="0070260F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Não efetuar o recolhimento do ICMS através de DARJ no momento da entrada do material, quando recebido de estabelecimentos fluminenses, sendo mantido o diferimento nas operações enquanto houver a industrialização da sucata.</w:t>
      </w:r>
    </w:p>
    <w:p w:rsidR="00CD36EB" w:rsidRDefault="00CD36EB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</w:p>
    <w:p w:rsidR="00CD36EB" w:rsidRDefault="0070260F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fim, declarando ser contribuinte do IPI;</w:t>
      </w:r>
    </w:p>
    <w:p w:rsidR="00CD36EB" w:rsidRDefault="00D727AB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 - </w:t>
      </w:r>
      <w:r w:rsidR="0070260F" w:rsidRPr="0070260F">
        <w:rPr>
          <w:rFonts w:ascii="Times New Roman" w:hAnsi="Times New Roman" w:cs="Times New Roman"/>
          <w:b/>
        </w:rPr>
        <w:t>REQUER:</w:t>
      </w:r>
    </w:p>
    <w:p w:rsidR="00CD36EB" w:rsidRDefault="00CD36EB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  <w:b/>
        </w:rPr>
      </w:pPr>
    </w:p>
    <w:p w:rsidR="00CD36EB" w:rsidRDefault="00B030E9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Concessão de </w:t>
      </w:r>
      <w:r w:rsidR="0070260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ratamento </w:t>
      </w:r>
      <w:r w:rsidR="0070260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ributário </w:t>
      </w:r>
      <w:r w:rsidR="0070260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special </w:t>
      </w:r>
      <w:r w:rsidR="0070260F">
        <w:rPr>
          <w:rFonts w:ascii="Times New Roman" w:hAnsi="Times New Roman" w:cs="Times New Roman"/>
        </w:rPr>
        <w:t>nos termos contidos neste requerimento.</w:t>
      </w:r>
    </w:p>
    <w:p w:rsidR="00CD36EB" w:rsidRDefault="00CD36EB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</w:p>
    <w:p w:rsidR="00CD36EB" w:rsidRDefault="00F74E84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  <w:r w:rsidRPr="00F74E84">
        <w:rPr>
          <w:rFonts w:ascii="Times New Roman" w:hAnsi="Times New Roman" w:cs="Times New Roman"/>
        </w:rPr>
        <w:lastRenderedPageBreak/>
        <w:t>O processo encontra-se instruído com o comprovante de pagamento da TSE (</w:t>
      </w:r>
      <w:r w:rsidRPr="00E759DA">
        <w:rPr>
          <w:rFonts w:ascii="Times New Roman" w:hAnsi="Times New Roman" w:cs="Times New Roman"/>
        </w:rPr>
        <w:t>fls.</w:t>
      </w:r>
      <w:r w:rsidRPr="00F74E84">
        <w:rPr>
          <w:rFonts w:ascii="Times New Roman" w:hAnsi="Times New Roman" w:cs="Times New Roman"/>
        </w:rPr>
        <w:t xml:space="preserve"> </w:t>
      </w:r>
      <w:r w:rsidR="00501DB0">
        <w:rPr>
          <w:rFonts w:ascii="Times New Roman" w:hAnsi="Times New Roman" w:cs="Times New Roman"/>
        </w:rPr>
        <w:t>06/07</w:t>
      </w:r>
      <w:r w:rsidRPr="00F74E84">
        <w:rPr>
          <w:rFonts w:ascii="Times New Roman" w:hAnsi="Times New Roman" w:cs="Times New Roman"/>
        </w:rPr>
        <w:t>), a habilitação do signatário da inicial para postular em nome da consulente (</w:t>
      </w:r>
      <w:r w:rsidRPr="00E759DA">
        <w:rPr>
          <w:rFonts w:ascii="Times New Roman" w:hAnsi="Times New Roman" w:cs="Times New Roman"/>
        </w:rPr>
        <w:t>fls.</w:t>
      </w:r>
      <w:r w:rsidR="00793FB7">
        <w:rPr>
          <w:rFonts w:ascii="Times New Roman" w:hAnsi="Times New Roman" w:cs="Times New Roman"/>
        </w:rPr>
        <w:t xml:space="preserve"> 19</w:t>
      </w:r>
      <w:r w:rsidRPr="00F74E84">
        <w:rPr>
          <w:rFonts w:ascii="Times New Roman" w:hAnsi="Times New Roman" w:cs="Times New Roman"/>
        </w:rPr>
        <w:t>), bem como as informações relativas aos incisos I e II do artigo 3º da Resolução SEF n.° 109/76 (</w:t>
      </w:r>
      <w:r w:rsidRPr="00E759DA">
        <w:rPr>
          <w:rFonts w:ascii="Times New Roman" w:hAnsi="Times New Roman" w:cs="Times New Roman"/>
        </w:rPr>
        <w:t>fls.</w:t>
      </w:r>
      <w:r w:rsidR="00B42A4A">
        <w:rPr>
          <w:rFonts w:ascii="Times New Roman" w:hAnsi="Times New Roman" w:cs="Times New Roman"/>
        </w:rPr>
        <w:t xml:space="preserve"> 31/32</w:t>
      </w:r>
      <w:r w:rsidRPr="00F74E84">
        <w:rPr>
          <w:rFonts w:ascii="Times New Roman" w:hAnsi="Times New Roman" w:cs="Times New Roman"/>
        </w:rPr>
        <w:t>).</w:t>
      </w:r>
    </w:p>
    <w:p w:rsidR="00CD36EB" w:rsidRDefault="00CD36EB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</w:p>
    <w:p w:rsidR="00CD36EB" w:rsidRDefault="00F968E2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</w:t>
      </w:r>
      <w:r w:rsidR="00D727AB">
        <w:rPr>
          <w:rFonts w:ascii="Times New Roman" w:hAnsi="Times New Roman" w:cs="Times New Roman"/>
          <w:b/>
        </w:rPr>
        <w:t>I</w:t>
      </w:r>
      <w:r w:rsidRPr="006F06F0">
        <w:rPr>
          <w:rFonts w:ascii="Times New Roman" w:hAnsi="Times New Roman" w:cs="Times New Roman"/>
          <w:b/>
        </w:rPr>
        <w:t xml:space="preserve"> – </w:t>
      </w:r>
      <w:r w:rsidR="00542EA5" w:rsidRPr="006F06F0">
        <w:rPr>
          <w:rFonts w:ascii="Times New Roman" w:hAnsi="Times New Roman" w:cs="Times New Roman"/>
          <w:b/>
        </w:rPr>
        <w:t>RESPOSTA</w:t>
      </w:r>
      <w:r w:rsidR="008E487B">
        <w:rPr>
          <w:rFonts w:ascii="Times New Roman" w:hAnsi="Times New Roman" w:cs="Times New Roman"/>
          <w:b/>
        </w:rPr>
        <w:t>:</w:t>
      </w:r>
    </w:p>
    <w:p w:rsidR="00CD36EB" w:rsidRDefault="00CD36EB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  <w:b/>
        </w:rPr>
      </w:pPr>
    </w:p>
    <w:p w:rsidR="00CD36EB" w:rsidRDefault="00F32AB5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  <w:r w:rsidRPr="00837B9C">
        <w:rPr>
          <w:rFonts w:ascii="Times New Roman" w:hAnsi="Times New Roman" w:cs="Times New Roman"/>
        </w:rPr>
        <w:t xml:space="preserve">Considerando </w:t>
      </w:r>
      <w:r>
        <w:rPr>
          <w:rFonts w:ascii="Times New Roman" w:hAnsi="Times New Roman" w:cs="Times New Roman"/>
        </w:rPr>
        <w:t xml:space="preserve">que </w:t>
      </w:r>
      <w:r w:rsidR="00E05417">
        <w:rPr>
          <w:rFonts w:ascii="Times New Roman" w:hAnsi="Times New Roman" w:cs="Times New Roman"/>
        </w:rPr>
        <w:t>o Protocolo ICMS 44/13</w:t>
      </w:r>
      <w:r w:rsidR="00D42421">
        <w:rPr>
          <w:rFonts w:ascii="Times New Roman" w:hAnsi="Times New Roman" w:cs="Times New Roman"/>
        </w:rPr>
        <w:t xml:space="preserve"> </w:t>
      </w:r>
      <w:r w:rsidR="00E05417">
        <w:rPr>
          <w:rFonts w:ascii="Times New Roman" w:hAnsi="Times New Roman" w:cs="Times New Roman"/>
        </w:rPr>
        <w:t>e</w:t>
      </w:r>
      <w:r w:rsidR="00E05417" w:rsidRPr="00E05417">
        <w:rPr>
          <w:rFonts w:ascii="Times New Roman" w:hAnsi="Times New Roman" w:cs="Times New Roman"/>
        </w:rPr>
        <w:t xml:space="preserve">stabelece </w:t>
      </w:r>
      <w:r w:rsidR="00E05417">
        <w:rPr>
          <w:rFonts w:ascii="Times New Roman" w:hAnsi="Times New Roman" w:cs="Times New Roman"/>
        </w:rPr>
        <w:t xml:space="preserve">o regime de </w:t>
      </w:r>
      <w:r w:rsidR="00E05417" w:rsidRPr="00E05417">
        <w:rPr>
          <w:rFonts w:ascii="Times New Roman" w:hAnsi="Times New Roman" w:cs="Times New Roman"/>
        </w:rPr>
        <w:t xml:space="preserve">substituição tributária </w:t>
      </w:r>
      <w:r w:rsidR="00E05417">
        <w:rPr>
          <w:rFonts w:ascii="Times New Roman" w:hAnsi="Times New Roman" w:cs="Times New Roman"/>
        </w:rPr>
        <w:t xml:space="preserve">nas </w:t>
      </w:r>
      <w:r w:rsidR="00E05417" w:rsidRPr="00E05417">
        <w:rPr>
          <w:rFonts w:ascii="Times New Roman" w:hAnsi="Times New Roman" w:cs="Times New Roman"/>
        </w:rPr>
        <w:t xml:space="preserve">operações </w:t>
      </w:r>
      <w:proofErr w:type="gramStart"/>
      <w:r w:rsidR="00E05417" w:rsidRPr="00E05417">
        <w:rPr>
          <w:rFonts w:ascii="Times New Roman" w:hAnsi="Times New Roman" w:cs="Times New Roman"/>
        </w:rPr>
        <w:t xml:space="preserve">antecedentes interestaduais </w:t>
      </w:r>
      <w:r w:rsidR="000E3D66">
        <w:rPr>
          <w:rFonts w:ascii="Times New Roman" w:hAnsi="Times New Roman" w:cs="Times New Roman"/>
        </w:rPr>
        <w:t>realizada</w:t>
      </w:r>
      <w:proofErr w:type="gramEnd"/>
      <w:r w:rsidR="000E3D66">
        <w:rPr>
          <w:rFonts w:ascii="Times New Roman" w:hAnsi="Times New Roman" w:cs="Times New Roman"/>
        </w:rPr>
        <w:t xml:space="preserve"> entre os estados signatários </w:t>
      </w:r>
      <w:r w:rsidR="00DE4E63" w:rsidRPr="00DE4E63">
        <w:rPr>
          <w:rFonts w:ascii="Times New Roman" w:hAnsi="Times New Roman" w:cs="Times New Roman"/>
        </w:rPr>
        <w:t>com desperdícios e resíduos, inclusive a sucata</w:t>
      </w:r>
      <w:r w:rsidR="00DE4E63">
        <w:rPr>
          <w:rFonts w:ascii="Times New Roman" w:hAnsi="Times New Roman" w:cs="Times New Roman"/>
        </w:rPr>
        <w:t xml:space="preserve"> </w:t>
      </w:r>
      <w:r w:rsidR="00DE4E63" w:rsidRPr="00DE4E63">
        <w:rPr>
          <w:rFonts w:ascii="Times New Roman" w:hAnsi="Times New Roman" w:cs="Times New Roman"/>
        </w:rPr>
        <w:t>dos metais</w:t>
      </w:r>
      <w:r w:rsidR="00DE4E63">
        <w:rPr>
          <w:rFonts w:ascii="Times New Roman" w:hAnsi="Times New Roman" w:cs="Times New Roman"/>
        </w:rPr>
        <w:t xml:space="preserve"> que menciona, </w:t>
      </w:r>
      <w:r w:rsidR="00E05417" w:rsidRPr="00E05417">
        <w:rPr>
          <w:rFonts w:ascii="Times New Roman" w:hAnsi="Times New Roman" w:cs="Times New Roman"/>
        </w:rPr>
        <w:t>quando o produto for destinado a estabe</w:t>
      </w:r>
      <w:r w:rsidR="00631EE8">
        <w:rPr>
          <w:rFonts w:ascii="Times New Roman" w:hAnsi="Times New Roman" w:cs="Times New Roman"/>
        </w:rPr>
        <w:t>lecimento industrializador</w:t>
      </w:r>
      <w:r w:rsidR="000E3D66">
        <w:rPr>
          <w:rFonts w:ascii="Times New Roman" w:hAnsi="Times New Roman" w:cs="Times New Roman"/>
        </w:rPr>
        <w:t>.</w:t>
      </w:r>
    </w:p>
    <w:p w:rsidR="00CD36EB" w:rsidRDefault="00CD36EB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</w:p>
    <w:p w:rsidR="00CD36EB" w:rsidRDefault="002D6C2A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</w:t>
      </w:r>
      <w:r w:rsidR="000E3D66">
        <w:rPr>
          <w:rFonts w:ascii="Times New Roman" w:hAnsi="Times New Roman" w:cs="Times New Roman"/>
        </w:rPr>
        <w:t xml:space="preserve">que os procedimentos indicados na resposta </w:t>
      </w:r>
      <w:r w:rsidR="00AE14C5">
        <w:rPr>
          <w:rFonts w:ascii="Times New Roman" w:hAnsi="Times New Roman" w:cs="Times New Roman"/>
        </w:rPr>
        <w:t xml:space="preserve">anterior </w:t>
      </w:r>
      <w:r w:rsidR="00D42421">
        <w:rPr>
          <w:rFonts w:ascii="Times New Roman" w:hAnsi="Times New Roman" w:cs="Times New Roman"/>
        </w:rPr>
        <w:t>não contemplaram as operações interestaduais envolvendo o</w:t>
      </w:r>
      <w:r w:rsidR="000E3D66">
        <w:rPr>
          <w:rFonts w:ascii="Times New Roman" w:hAnsi="Times New Roman" w:cs="Times New Roman"/>
        </w:rPr>
        <w:t xml:space="preserve">s estados signatários do Protocolo ICMS 44/13, </w:t>
      </w:r>
      <w:r w:rsidR="00F32AB5" w:rsidRPr="00B20EC7">
        <w:rPr>
          <w:rFonts w:ascii="Times New Roman" w:hAnsi="Times New Roman" w:cs="Times New Roman"/>
        </w:rPr>
        <w:t xml:space="preserve">procedemos ao reexame da decisão de fls. </w:t>
      </w:r>
      <w:r w:rsidR="00FB4F78">
        <w:rPr>
          <w:rFonts w:ascii="Times New Roman" w:hAnsi="Times New Roman" w:cs="Times New Roman"/>
        </w:rPr>
        <w:t>41</w:t>
      </w:r>
      <w:r w:rsidR="00F32AB5" w:rsidRPr="00B20EC7">
        <w:rPr>
          <w:rFonts w:ascii="Times New Roman" w:hAnsi="Times New Roman" w:cs="Times New Roman"/>
        </w:rPr>
        <w:t xml:space="preserve">, fundamentada na resposta de fls. </w:t>
      </w:r>
      <w:r w:rsidR="00FB4F78">
        <w:rPr>
          <w:rFonts w:ascii="Times New Roman" w:hAnsi="Times New Roman" w:cs="Times New Roman"/>
        </w:rPr>
        <w:t>37</w:t>
      </w:r>
      <w:r w:rsidR="00F32AB5" w:rsidRPr="00B20EC7">
        <w:rPr>
          <w:rFonts w:ascii="Times New Roman" w:hAnsi="Times New Roman" w:cs="Times New Roman"/>
        </w:rPr>
        <w:t>/</w:t>
      </w:r>
      <w:r w:rsidR="00FB4F78">
        <w:rPr>
          <w:rFonts w:ascii="Times New Roman" w:hAnsi="Times New Roman" w:cs="Times New Roman"/>
        </w:rPr>
        <w:t>40</w:t>
      </w:r>
      <w:r w:rsidR="00F32AB5" w:rsidRPr="00B20EC7">
        <w:rPr>
          <w:rFonts w:ascii="Times New Roman" w:hAnsi="Times New Roman" w:cs="Times New Roman"/>
        </w:rPr>
        <w:t xml:space="preserve">, que internamente recebeu o número </w:t>
      </w:r>
      <w:r w:rsidR="00FB4F78">
        <w:rPr>
          <w:rFonts w:ascii="Times New Roman" w:hAnsi="Times New Roman" w:cs="Times New Roman"/>
        </w:rPr>
        <w:t>162</w:t>
      </w:r>
      <w:r w:rsidR="00F32AB5" w:rsidRPr="00B20EC7">
        <w:rPr>
          <w:rFonts w:ascii="Times New Roman" w:hAnsi="Times New Roman" w:cs="Times New Roman"/>
        </w:rPr>
        <w:t>/1</w:t>
      </w:r>
      <w:r w:rsidR="00FB4F78">
        <w:rPr>
          <w:rFonts w:ascii="Times New Roman" w:hAnsi="Times New Roman" w:cs="Times New Roman"/>
        </w:rPr>
        <w:t>4</w:t>
      </w:r>
      <w:r w:rsidR="00F32AB5" w:rsidRPr="00B20EC7">
        <w:rPr>
          <w:rFonts w:ascii="Times New Roman" w:hAnsi="Times New Roman" w:cs="Times New Roman"/>
        </w:rPr>
        <w:t xml:space="preserve">, sendo a mesma CANCELADA, </w:t>
      </w:r>
      <w:proofErr w:type="spellStart"/>
      <w:r w:rsidR="00F32AB5" w:rsidRPr="00631EE8">
        <w:rPr>
          <w:rFonts w:ascii="Times New Roman" w:hAnsi="Times New Roman" w:cs="Times New Roman"/>
          <w:i/>
        </w:rPr>
        <w:t>ex</w:t>
      </w:r>
      <w:proofErr w:type="spellEnd"/>
      <w:r w:rsidR="006574FC">
        <w:rPr>
          <w:rFonts w:ascii="Times New Roman" w:hAnsi="Times New Roman" w:cs="Times New Roman"/>
          <w:i/>
        </w:rPr>
        <w:t xml:space="preserve"> </w:t>
      </w:r>
      <w:proofErr w:type="spellStart"/>
      <w:r w:rsidR="00F32AB5" w:rsidRPr="00631EE8">
        <w:rPr>
          <w:rFonts w:ascii="Times New Roman" w:hAnsi="Times New Roman" w:cs="Times New Roman"/>
          <w:i/>
        </w:rPr>
        <w:t>officio</w:t>
      </w:r>
      <w:proofErr w:type="spellEnd"/>
      <w:r w:rsidR="00F32AB5" w:rsidRPr="00B20EC7">
        <w:rPr>
          <w:rFonts w:ascii="Times New Roman" w:hAnsi="Times New Roman" w:cs="Times New Roman"/>
        </w:rPr>
        <w:t xml:space="preserve">, passando </w:t>
      </w:r>
      <w:r w:rsidR="00631EE8">
        <w:rPr>
          <w:rFonts w:ascii="Times New Roman" w:hAnsi="Times New Roman" w:cs="Times New Roman"/>
        </w:rPr>
        <w:t xml:space="preserve">a </w:t>
      </w:r>
      <w:r w:rsidR="00F32AB5" w:rsidRPr="00B20EC7">
        <w:rPr>
          <w:rFonts w:ascii="Times New Roman" w:hAnsi="Times New Roman" w:cs="Times New Roman"/>
        </w:rPr>
        <w:t>ser a que segue.</w:t>
      </w:r>
    </w:p>
    <w:p w:rsidR="00CD36EB" w:rsidRDefault="00CD36EB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</w:p>
    <w:p w:rsidR="00CD36EB" w:rsidRDefault="00F61C04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  <w:r w:rsidRPr="00F61C04">
        <w:rPr>
          <w:rFonts w:ascii="Times New Roman" w:hAnsi="Times New Roman" w:cs="Times New Roman"/>
        </w:rPr>
        <w:t>Embora em sua petição in</w:t>
      </w:r>
      <w:r>
        <w:rPr>
          <w:rFonts w:ascii="Times New Roman" w:hAnsi="Times New Roman" w:cs="Times New Roman"/>
        </w:rPr>
        <w:t>i</w:t>
      </w:r>
      <w:r w:rsidRPr="00F61C04">
        <w:rPr>
          <w:rFonts w:ascii="Times New Roman" w:hAnsi="Times New Roman" w:cs="Times New Roman"/>
        </w:rPr>
        <w:t xml:space="preserve">cial, a requerente </w:t>
      </w:r>
      <w:r>
        <w:rPr>
          <w:rFonts w:ascii="Times New Roman" w:hAnsi="Times New Roman" w:cs="Times New Roman"/>
        </w:rPr>
        <w:t xml:space="preserve">tenha </w:t>
      </w:r>
      <w:r w:rsidRPr="00F61C04">
        <w:rPr>
          <w:rFonts w:ascii="Times New Roman" w:hAnsi="Times New Roman" w:cs="Times New Roman"/>
        </w:rPr>
        <w:t>se refer</w:t>
      </w:r>
      <w:r>
        <w:rPr>
          <w:rFonts w:ascii="Times New Roman" w:hAnsi="Times New Roman" w:cs="Times New Roman"/>
        </w:rPr>
        <w:t xml:space="preserve">ido </w:t>
      </w:r>
      <w:r w:rsidRPr="00F61C04">
        <w:rPr>
          <w:rFonts w:ascii="Times New Roman" w:hAnsi="Times New Roman" w:cs="Times New Roman"/>
        </w:rPr>
        <w:t>à concessão de Tratamento Tributário Especial</w:t>
      </w:r>
      <w:r>
        <w:rPr>
          <w:rFonts w:ascii="Times New Roman" w:hAnsi="Times New Roman" w:cs="Times New Roman"/>
        </w:rPr>
        <w:t xml:space="preserve">, o valor pago </w:t>
      </w:r>
      <w:proofErr w:type="gramStart"/>
      <w:r>
        <w:rPr>
          <w:rFonts w:ascii="Times New Roman" w:hAnsi="Times New Roman" w:cs="Times New Roman"/>
        </w:rPr>
        <w:t>à</w:t>
      </w:r>
      <w:proofErr w:type="gramEnd"/>
      <w:r>
        <w:rPr>
          <w:rFonts w:ascii="Times New Roman" w:hAnsi="Times New Roman" w:cs="Times New Roman"/>
        </w:rPr>
        <w:t xml:space="preserve"> título de Taxa de Serviços Estaduais se refere à consulta  jurídico-tributária.</w:t>
      </w:r>
      <w:r w:rsidR="00633F0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Considerando ainda, como se verá a seguir,</w:t>
      </w:r>
      <w:r w:rsidR="00633F0E">
        <w:rPr>
          <w:rFonts w:ascii="Times New Roman" w:hAnsi="Times New Roman" w:cs="Times New Roman"/>
        </w:rPr>
        <w:t xml:space="preserve"> ser desnecessário o </w:t>
      </w:r>
      <w:r>
        <w:rPr>
          <w:rFonts w:ascii="Times New Roman" w:hAnsi="Times New Roman" w:cs="Times New Roman"/>
        </w:rPr>
        <w:t>tratamento tributário especial</w:t>
      </w:r>
      <w:r w:rsidR="00633F0E">
        <w:rPr>
          <w:rFonts w:ascii="Times New Roman" w:hAnsi="Times New Roman" w:cs="Times New Roman"/>
        </w:rPr>
        <w:t xml:space="preserve"> nos moldes pretendidos</w:t>
      </w:r>
      <w:r>
        <w:rPr>
          <w:rFonts w:ascii="Times New Roman" w:hAnsi="Times New Roman" w:cs="Times New Roman"/>
        </w:rPr>
        <w:t xml:space="preserve">, o processo </w:t>
      </w:r>
      <w:r w:rsidR="00633F0E">
        <w:rPr>
          <w:rFonts w:ascii="Times New Roman" w:hAnsi="Times New Roman" w:cs="Times New Roman"/>
        </w:rPr>
        <w:t xml:space="preserve">passará a </w:t>
      </w:r>
      <w:r>
        <w:rPr>
          <w:rFonts w:ascii="Times New Roman" w:hAnsi="Times New Roman" w:cs="Times New Roman"/>
        </w:rPr>
        <w:t>tramita</w:t>
      </w:r>
      <w:r w:rsidR="00633F0E">
        <w:rPr>
          <w:rFonts w:ascii="Times New Roman" w:hAnsi="Times New Roman" w:cs="Times New Roman"/>
        </w:rPr>
        <w:t xml:space="preserve">r sob a forma </w:t>
      </w:r>
      <w:r>
        <w:rPr>
          <w:rFonts w:ascii="Times New Roman" w:hAnsi="Times New Roman" w:cs="Times New Roman"/>
        </w:rPr>
        <w:t>de consulta jurídico tribut</w:t>
      </w:r>
      <w:r w:rsidR="00633F0E">
        <w:rPr>
          <w:rFonts w:ascii="Times New Roman" w:hAnsi="Times New Roman" w:cs="Times New Roman"/>
        </w:rPr>
        <w:t>ária</w:t>
      </w:r>
      <w:r>
        <w:rPr>
          <w:rFonts w:ascii="Times New Roman" w:hAnsi="Times New Roman" w:cs="Times New Roman"/>
        </w:rPr>
        <w:t xml:space="preserve">.  </w:t>
      </w:r>
      <w:r w:rsidR="00633F0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Isto posto</w:t>
      </w:r>
      <w:proofErr w:type="gramEnd"/>
      <w:r>
        <w:rPr>
          <w:rFonts w:ascii="Times New Roman" w:hAnsi="Times New Roman" w:cs="Times New Roman"/>
        </w:rPr>
        <w:t xml:space="preserve">, em solução aos questionamentos apresentados, informamos que o </w:t>
      </w:r>
      <w:r w:rsidR="00EA7261">
        <w:rPr>
          <w:rFonts w:ascii="Times New Roman" w:hAnsi="Times New Roman" w:cs="Times New Roman"/>
        </w:rPr>
        <w:t xml:space="preserve">Convênio ICMS 9/76, </w:t>
      </w:r>
      <w:r w:rsidR="00EA7261" w:rsidRPr="00EA7261">
        <w:rPr>
          <w:rFonts w:ascii="Times New Roman" w:hAnsi="Times New Roman" w:cs="Times New Roman"/>
        </w:rPr>
        <w:t>estabelec</w:t>
      </w:r>
      <w:r w:rsidR="00633F0E">
        <w:rPr>
          <w:rFonts w:ascii="Times New Roman" w:hAnsi="Times New Roman" w:cs="Times New Roman"/>
        </w:rPr>
        <w:t xml:space="preserve">endo </w:t>
      </w:r>
      <w:r w:rsidR="00EA7261" w:rsidRPr="00EA7261">
        <w:rPr>
          <w:rFonts w:ascii="Times New Roman" w:hAnsi="Times New Roman" w:cs="Times New Roman"/>
        </w:rPr>
        <w:t>que o ICM</w:t>
      </w:r>
      <w:r w:rsidR="00EA7261">
        <w:rPr>
          <w:rFonts w:ascii="Times New Roman" w:hAnsi="Times New Roman" w:cs="Times New Roman"/>
        </w:rPr>
        <w:t xml:space="preserve">S </w:t>
      </w:r>
      <w:r w:rsidR="00EA7261" w:rsidRPr="00EA7261">
        <w:rPr>
          <w:rFonts w:ascii="Times New Roman" w:hAnsi="Times New Roman" w:cs="Times New Roman"/>
        </w:rPr>
        <w:t xml:space="preserve">incidente nas saídas interestaduais com sucatas </w:t>
      </w:r>
      <w:r w:rsidR="001C34A0">
        <w:rPr>
          <w:rFonts w:ascii="Times New Roman" w:hAnsi="Times New Roman" w:cs="Times New Roman"/>
        </w:rPr>
        <w:t xml:space="preserve">fosse </w:t>
      </w:r>
      <w:r w:rsidR="00EA7261" w:rsidRPr="00EA7261">
        <w:rPr>
          <w:rFonts w:ascii="Times New Roman" w:hAnsi="Times New Roman" w:cs="Times New Roman"/>
        </w:rPr>
        <w:t>recolhido por guia em separado, antes de iniciada</w:t>
      </w:r>
      <w:r w:rsidR="001C34A0">
        <w:rPr>
          <w:rFonts w:ascii="Times New Roman" w:hAnsi="Times New Roman" w:cs="Times New Roman"/>
        </w:rPr>
        <w:t xml:space="preserve"> a remessa, foi revogado pelo Convênio ICMS 113/07, com efeitos a partir de 1º/11/2007.  </w:t>
      </w:r>
      <w:r w:rsidR="00A15F28">
        <w:rPr>
          <w:rFonts w:ascii="Times New Roman" w:hAnsi="Times New Roman" w:cs="Times New Roman"/>
        </w:rPr>
        <w:t xml:space="preserve"> Em consequência, o inciso I do artigo 1º do Liv</w:t>
      </w:r>
      <w:r w:rsidR="00F34ABB">
        <w:rPr>
          <w:rFonts w:ascii="Times New Roman" w:hAnsi="Times New Roman" w:cs="Times New Roman"/>
        </w:rPr>
        <w:t>ro XII do RICMS/00</w:t>
      </w:r>
      <w:r w:rsidR="00CA32CE">
        <w:rPr>
          <w:rFonts w:ascii="Times New Roman" w:hAnsi="Times New Roman" w:cs="Times New Roman"/>
        </w:rPr>
        <w:t>,</w:t>
      </w:r>
      <w:r w:rsidR="004420DE">
        <w:rPr>
          <w:rFonts w:ascii="Times New Roman" w:hAnsi="Times New Roman" w:cs="Times New Roman"/>
        </w:rPr>
        <w:t xml:space="preserve"> e </w:t>
      </w:r>
      <w:r w:rsidR="00A15F28">
        <w:rPr>
          <w:rFonts w:ascii="Times New Roman" w:hAnsi="Times New Roman" w:cs="Times New Roman"/>
        </w:rPr>
        <w:t>todas as obrigações dele decorrente</w:t>
      </w:r>
      <w:r w:rsidR="004420DE">
        <w:rPr>
          <w:rFonts w:ascii="Times New Roman" w:hAnsi="Times New Roman" w:cs="Times New Roman"/>
        </w:rPr>
        <w:t>s</w:t>
      </w:r>
      <w:r w:rsidR="00A15F28">
        <w:rPr>
          <w:rFonts w:ascii="Times New Roman" w:hAnsi="Times New Roman" w:cs="Times New Roman"/>
        </w:rPr>
        <w:t>, foram  tacitamente revogados.</w:t>
      </w:r>
    </w:p>
    <w:p w:rsidR="002D6C2A" w:rsidRDefault="002D6C2A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</w:p>
    <w:p w:rsidR="00CD36EB" w:rsidRDefault="001C34A0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Portanto, desde </w:t>
      </w:r>
      <w:r w:rsidR="00A15F28">
        <w:rPr>
          <w:rFonts w:ascii="Times New Roman" w:hAnsi="Times New Roman" w:cs="Times New Roman"/>
        </w:rPr>
        <w:t xml:space="preserve">daquela </w:t>
      </w:r>
      <w:r>
        <w:rPr>
          <w:rFonts w:ascii="Times New Roman" w:hAnsi="Times New Roman" w:cs="Times New Roman"/>
        </w:rPr>
        <w:t>data, r</w:t>
      </w:r>
      <w:r w:rsidR="00F34ABB" w:rsidRPr="00F34ABB">
        <w:rPr>
          <w:rFonts w:ascii="Times New Roman" w:hAnsi="Times New Roman" w:cs="Times New Roman"/>
        </w:rPr>
        <w:t>elativamente à</w:t>
      </w:r>
      <w:r>
        <w:rPr>
          <w:rFonts w:ascii="Times New Roman" w:hAnsi="Times New Roman" w:cs="Times New Roman"/>
        </w:rPr>
        <w:t>s</w:t>
      </w:r>
      <w:r w:rsidR="00F34ABB" w:rsidRPr="00F34ABB">
        <w:rPr>
          <w:rFonts w:ascii="Times New Roman" w:hAnsi="Times New Roman" w:cs="Times New Roman"/>
        </w:rPr>
        <w:t xml:space="preserve"> saída</w:t>
      </w:r>
      <w:r>
        <w:rPr>
          <w:rFonts w:ascii="Times New Roman" w:hAnsi="Times New Roman" w:cs="Times New Roman"/>
        </w:rPr>
        <w:t xml:space="preserve">s interestaduais com sucatas, </w:t>
      </w:r>
      <w:r w:rsidR="00F34ABB" w:rsidRPr="00F34ABB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ICMS </w:t>
      </w:r>
      <w:r w:rsidR="00F34ABB" w:rsidRPr="00F34ABB">
        <w:rPr>
          <w:rFonts w:ascii="Times New Roman" w:hAnsi="Times New Roman" w:cs="Times New Roman"/>
        </w:rPr>
        <w:t xml:space="preserve">deve ser </w:t>
      </w:r>
      <w:r>
        <w:rPr>
          <w:rFonts w:ascii="Times New Roman" w:hAnsi="Times New Roman" w:cs="Times New Roman"/>
        </w:rPr>
        <w:t xml:space="preserve">normalmente </w:t>
      </w:r>
      <w:r w:rsidR="00F34ABB" w:rsidRPr="00F34ABB">
        <w:rPr>
          <w:rFonts w:ascii="Times New Roman" w:hAnsi="Times New Roman" w:cs="Times New Roman"/>
        </w:rPr>
        <w:t>destacado nos documentos fiscais</w:t>
      </w:r>
      <w:r w:rsidR="00A15F28">
        <w:rPr>
          <w:rFonts w:ascii="Times New Roman" w:hAnsi="Times New Roman" w:cs="Times New Roman"/>
        </w:rPr>
        <w:t xml:space="preserve">, </w:t>
      </w:r>
      <w:r w:rsidR="00F34ABB" w:rsidRPr="00F34ABB">
        <w:rPr>
          <w:rFonts w:ascii="Times New Roman" w:hAnsi="Times New Roman" w:cs="Times New Roman"/>
        </w:rPr>
        <w:t>apurado</w:t>
      </w:r>
      <w:r w:rsidR="00A15F28">
        <w:rPr>
          <w:rFonts w:ascii="Times New Roman" w:hAnsi="Times New Roman" w:cs="Times New Roman"/>
        </w:rPr>
        <w:t xml:space="preserve"> e pago </w:t>
      </w:r>
      <w:r w:rsidR="00F34ABB" w:rsidRPr="00F34ABB">
        <w:rPr>
          <w:rFonts w:ascii="Times New Roman" w:hAnsi="Times New Roman" w:cs="Times New Roman"/>
        </w:rPr>
        <w:t>segundo as regras normais de tributação</w:t>
      </w:r>
      <w:r>
        <w:rPr>
          <w:rFonts w:ascii="Times New Roman" w:hAnsi="Times New Roman" w:cs="Times New Roman"/>
        </w:rPr>
        <w:t>, estando suprimid</w:t>
      </w:r>
      <w:r w:rsidR="00CA32CE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o pagamento antecipado, na remessa, bem como a exigência do guia de arrecadação, comprovando o pagamento do imposto, para fins de creditamento do imposto pelo </w:t>
      </w:r>
      <w:r w:rsidR="006E153E">
        <w:rPr>
          <w:rFonts w:ascii="Times New Roman" w:hAnsi="Times New Roman" w:cs="Times New Roman"/>
        </w:rPr>
        <w:t>contribuinte fluminense</w:t>
      </w:r>
      <w:r>
        <w:rPr>
          <w:rFonts w:ascii="Times New Roman" w:hAnsi="Times New Roman" w:cs="Times New Roman"/>
        </w:rPr>
        <w:t>.</w:t>
      </w:r>
    </w:p>
    <w:p w:rsidR="00CD36EB" w:rsidRDefault="00CD36EB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</w:p>
    <w:p w:rsidR="00CD36EB" w:rsidRDefault="001C34A0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Ficam mantidas as demais disposições do Livro </w:t>
      </w:r>
      <w:r w:rsidR="00450B7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II do RICMS/00 que não conflitarem com </w:t>
      </w:r>
      <w:r w:rsidR="004420DE">
        <w:rPr>
          <w:rFonts w:ascii="Times New Roman" w:hAnsi="Times New Roman" w:cs="Times New Roman"/>
        </w:rPr>
        <w:t>o dispositivo revogado (inciso I do artigo 1º</w:t>
      </w:r>
      <w:r w:rsidR="00D61CD4">
        <w:rPr>
          <w:rFonts w:ascii="Times New Roman" w:hAnsi="Times New Roman" w:cs="Times New Roman"/>
        </w:rPr>
        <w:t>), especialmente, objeto do presente requerimento, a responsabilidade do estabelecimento industrial em recolher o ICMS diferido nas sucessivas sa</w:t>
      </w:r>
      <w:r w:rsidR="00426DED">
        <w:rPr>
          <w:rFonts w:ascii="Times New Roman" w:hAnsi="Times New Roman" w:cs="Times New Roman"/>
        </w:rPr>
        <w:t>ídas internas, conforme o estabelecido no inciso I do artigo 3º do mesmo Livro</w:t>
      </w:r>
      <w:r w:rsidR="00CA32CE">
        <w:rPr>
          <w:rFonts w:ascii="Times New Roman" w:hAnsi="Times New Roman" w:cs="Times New Roman"/>
        </w:rPr>
        <w:t>, na entrada da sucata, devendo o pagamento ser efetuado no dia 10 (dez) do mês, conforme o atual Calendário Fiscal.</w:t>
      </w:r>
    </w:p>
    <w:p w:rsidR="00CD36EB" w:rsidRDefault="00CD36EB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</w:p>
    <w:p w:rsidR="00CD36EB" w:rsidRDefault="002207FF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Quanto ao acúmulo de créditos, o entendimento que a requerente extraiu das normas do Livro XII estão equivocadas, pois embora a Nota 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que acompanha o seu artigo 3º disponha que o </w:t>
      </w:r>
      <w:r w:rsidRPr="00877E6E">
        <w:rPr>
          <w:rFonts w:ascii="Times New Roman" w:hAnsi="Times New Roman" w:cs="Times New Roman"/>
        </w:rPr>
        <w:t xml:space="preserve">imposto de </w:t>
      </w:r>
      <w:r>
        <w:rPr>
          <w:rFonts w:ascii="Times New Roman" w:hAnsi="Times New Roman" w:cs="Times New Roman"/>
        </w:rPr>
        <w:t xml:space="preserve">responsabilidade do adquirente seja </w:t>
      </w:r>
      <w:r w:rsidRPr="00877E6E">
        <w:rPr>
          <w:rFonts w:ascii="Times New Roman" w:hAnsi="Times New Roman" w:cs="Times New Roman"/>
        </w:rPr>
        <w:t>pago independentemente do resultado do confronto entre débitos e créditos referentes às demais operações do período</w:t>
      </w:r>
      <w:r>
        <w:rPr>
          <w:rFonts w:ascii="Times New Roman" w:hAnsi="Times New Roman" w:cs="Times New Roman"/>
        </w:rPr>
        <w:t>, após o seu pagamento, em DARJ em separado, este poderá ser aproveitado como crédito do imposto no próprio período</w:t>
      </w:r>
      <w:r w:rsidR="00F02CFD">
        <w:rPr>
          <w:rFonts w:ascii="Times New Roman" w:hAnsi="Times New Roman" w:cs="Times New Roman"/>
        </w:rPr>
        <w:t>, ou, diante de uma dificuldade operacional, no período seguinte, observadas as regras de creditamento estabelecidas nos artigos 24 a 37 da Lei n.º 2.657/96</w:t>
      </w:r>
      <w:r w:rsidR="00D727AB">
        <w:rPr>
          <w:rFonts w:ascii="Times New Roman" w:hAnsi="Times New Roman" w:cs="Times New Roman"/>
        </w:rPr>
        <w:t xml:space="preserve">, respeitando-se </w:t>
      </w:r>
      <w:r w:rsidR="00A237E4">
        <w:rPr>
          <w:rFonts w:ascii="Times New Roman" w:hAnsi="Times New Roman" w:cs="Times New Roman"/>
        </w:rPr>
        <w:t xml:space="preserve">assim </w:t>
      </w:r>
      <w:r w:rsidR="00D727AB">
        <w:rPr>
          <w:rFonts w:ascii="Times New Roman" w:hAnsi="Times New Roman" w:cs="Times New Roman"/>
        </w:rPr>
        <w:t>o princípio da não cumulatividade</w:t>
      </w:r>
      <w:r>
        <w:rPr>
          <w:rFonts w:ascii="Times New Roman" w:hAnsi="Times New Roman" w:cs="Times New Roman"/>
        </w:rPr>
        <w:t>.  Desta forma, não há</w:t>
      </w:r>
      <w:r w:rsidR="00F02CFD">
        <w:rPr>
          <w:rFonts w:ascii="Times New Roman" w:hAnsi="Times New Roman" w:cs="Times New Roman"/>
        </w:rPr>
        <w:t xml:space="preserve"> que se falar em </w:t>
      </w:r>
      <w:r>
        <w:rPr>
          <w:rFonts w:ascii="Times New Roman" w:hAnsi="Times New Roman" w:cs="Times New Roman"/>
        </w:rPr>
        <w:t>acúmulo de créditos.</w:t>
      </w:r>
    </w:p>
    <w:p w:rsidR="00CD36EB" w:rsidRDefault="00CD36EB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</w:p>
    <w:p w:rsidR="00CD36EB" w:rsidRDefault="00A237E4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Uma vez d</w:t>
      </w:r>
      <w:r w:rsidR="00F02CFD">
        <w:rPr>
          <w:rFonts w:ascii="Times New Roman" w:hAnsi="Times New Roman" w:cs="Times New Roman"/>
        </w:rPr>
        <w:t>emonstrad</w:t>
      </w:r>
      <w:r>
        <w:rPr>
          <w:rFonts w:ascii="Times New Roman" w:hAnsi="Times New Roman" w:cs="Times New Roman"/>
        </w:rPr>
        <w:t xml:space="preserve">o acima a </w:t>
      </w:r>
      <w:r w:rsidR="00D727AB">
        <w:rPr>
          <w:rFonts w:ascii="Times New Roman" w:hAnsi="Times New Roman" w:cs="Times New Roman"/>
        </w:rPr>
        <w:t xml:space="preserve">aplicação das normas comuns de tributação nas operações interestaduais, e assegurado </w:t>
      </w:r>
      <w:r w:rsidR="00DA56DD">
        <w:rPr>
          <w:rFonts w:ascii="Times New Roman" w:hAnsi="Times New Roman" w:cs="Times New Roman"/>
        </w:rPr>
        <w:t xml:space="preserve">o direito aos créditos do ICMS </w:t>
      </w:r>
      <w:r w:rsidR="00D727AB">
        <w:rPr>
          <w:rFonts w:ascii="Times New Roman" w:hAnsi="Times New Roman" w:cs="Times New Roman"/>
        </w:rPr>
        <w:t>ao estabelecimento industrial, responsável pelo pagamento do imposto diferido nas operações internas, resta insubsistente</w:t>
      </w:r>
      <w:r w:rsidR="009255A5">
        <w:rPr>
          <w:rFonts w:ascii="Times New Roman" w:hAnsi="Times New Roman" w:cs="Times New Roman"/>
        </w:rPr>
        <w:t xml:space="preserve"> e carente de base legal-regulamentar o pedido de </w:t>
      </w:r>
      <w:r w:rsidR="00D727AB">
        <w:rPr>
          <w:rFonts w:ascii="Times New Roman" w:hAnsi="Times New Roman" w:cs="Times New Roman"/>
        </w:rPr>
        <w:t xml:space="preserve">tratamento tributário especial </w:t>
      </w:r>
      <w:r w:rsidR="009255A5">
        <w:rPr>
          <w:rFonts w:ascii="Times New Roman" w:hAnsi="Times New Roman" w:cs="Times New Roman"/>
        </w:rPr>
        <w:t xml:space="preserve">conforme </w:t>
      </w:r>
      <w:r w:rsidR="00D727AB">
        <w:rPr>
          <w:rFonts w:ascii="Times New Roman" w:hAnsi="Times New Roman" w:cs="Times New Roman"/>
        </w:rPr>
        <w:t>propost</w:t>
      </w:r>
      <w:r w:rsidR="009255A5">
        <w:rPr>
          <w:rFonts w:ascii="Times New Roman" w:hAnsi="Times New Roman" w:cs="Times New Roman"/>
        </w:rPr>
        <w:t>o</w:t>
      </w:r>
      <w:r w:rsidR="00D727AB">
        <w:rPr>
          <w:rFonts w:ascii="Times New Roman" w:hAnsi="Times New Roman" w:cs="Times New Roman"/>
        </w:rPr>
        <w:t>.</w:t>
      </w:r>
    </w:p>
    <w:p w:rsidR="00CD36EB" w:rsidRDefault="00CD36EB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</w:p>
    <w:p w:rsidR="00CB2B56" w:rsidRDefault="00CD0E33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 operações realizadas com os </w:t>
      </w:r>
      <w:r w:rsidR="002C0A9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stados </w:t>
      </w:r>
      <w:r w:rsidR="003343FA">
        <w:rPr>
          <w:rFonts w:ascii="Times New Roman" w:hAnsi="Times New Roman" w:cs="Times New Roman"/>
        </w:rPr>
        <w:t>signatários do Protocolo ICMS 44/13</w:t>
      </w:r>
      <w:r w:rsidR="00AE14C5">
        <w:rPr>
          <w:rFonts w:ascii="Times New Roman" w:hAnsi="Times New Roman" w:cs="Times New Roman"/>
        </w:rPr>
        <w:t xml:space="preserve">, </w:t>
      </w:r>
      <w:r w:rsidR="003343FA">
        <w:rPr>
          <w:rFonts w:ascii="Times New Roman" w:hAnsi="Times New Roman" w:cs="Times New Roman"/>
        </w:rPr>
        <w:t>observado os Protocolos ICMS 68/13, 102/13, 40/15</w:t>
      </w:r>
      <w:r w:rsidR="00455385">
        <w:rPr>
          <w:rFonts w:ascii="Times New Roman" w:hAnsi="Times New Roman" w:cs="Times New Roman"/>
        </w:rPr>
        <w:t xml:space="preserve">, </w:t>
      </w:r>
      <w:r w:rsidR="003343FA">
        <w:rPr>
          <w:rFonts w:ascii="Times New Roman" w:hAnsi="Times New Roman" w:cs="Times New Roman"/>
        </w:rPr>
        <w:t>28/16</w:t>
      </w:r>
      <w:r w:rsidR="00455385">
        <w:rPr>
          <w:rFonts w:ascii="Times New Roman" w:hAnsi="Times New Roman" w:cs="Times New Roman"/>
        </w:rPr>
        <w:t xml:space="preserve"> e 31/16</w:t>
      </w:r>
      <w:r w:rsidR="00AE14C5">
        <w:rPr>
          <w:rFonts w:ascii="Times New Roman" w:hAnsi="Times New Roman" w:cs="Times New Roman"/>
        </w:rPr>
        <w:t xml:space="preserve">, </w:t>
      </w:r>
      <w:r w:rsidR="00CC1085">
        <w:rPr>
          <w:rFonts w:ascii="Times New Roman" w:hAnsi="Times New Roman" w:cs="Times New Roman"/>
        </w:rPr>
        <w:t>com</w:t>
      </w:r>
      <w:r w:rsidR="002C0A97">
        <w:rPr>
          <w:rFonts w:ascii="Times New Roman" w:hAnsi="Times New Roman" w:cs="Times New Roman"/>
        </w:rPr>
        <w:t xml:space="preserve"> as</w:t>
      </w:r>
      <w:r w:rsidR="00CC1085">
        <w:rPr>
          <w:rFonts w:ascii="Times New Roman" w:hAnsi="Times New Roman" w:cs="Times New Roman"/>
        </w:rPr>
        <w:t xml:space="preserve"> mercadorias elencadas em sua cláusula primeira</w:t>
      </w:r>
      <w:r w:rsidR="00AE14C5">
        <w:rPr>
          <w:rFonts w:ascii="Times New Roman" w:hAnsi="Times New Roman" w:cs="Times New Roman"/>
        </w:rPr>
        <w:t xml:space="preserve"> (observado o § 4º)</w:t>
      </w:r>
      <w:r w:rsidR="00CC1085">
        <w:rPr>
          <w:rFonts w:ascii="Times New Roman" w:hAnsi="Times New Roman" w:cs="Times New Roman"/>
        </w:rPr>
        <w:t xml:space="preserve">, </w:t>
      </w:r>
      <w:proofErr w:type="gramStart"/>
      <w:r w:rsidR="00CC1085" w:rsidRPr="00CC1085">
        <w:rPr>
          <w:rFonts w:ascii="Times New Roman" w:hAnsi="Times New Roman" w:cs="Times New Roman"/>
        </w:rPr>
        <w:t>fica</w:t>
      </w:r>
      <w:proofErr w:type="gramEnd"/>
      <w:r w:rsidR="00CC1085" w:rsidRPr="00CC1085">
        <w:rPr>
          <w:rFonts w:ascii="Times New Roman" w:hAnsi="Times New Roman" w:cs="Times New Roman"/>
        </w:rPr>
        <w:t xml:space="preserve"> atribuída </w:t>
      </w:r>
      <w:r w:rsidR="003C50EC">
        <w:rPr>
          <w:rFonts w:ascii="Times New Roman" w:hAnsi="Times New Roman" w:cs="Times New Roman"/>
        </w:rPr>
        <w:t>à consulente</w:t>
      </w:r>
      <w:r w:rsidR="00AE14C5">
        <w:rPr>
          <w:rFonts w:ascii="Times New Roman" w:hAnsi="Times New Roman" w:cs="Times New Roman"/>
        </w:rPr>
        <w:t xml:space="preserve"> quando </w:t>
      </w:r>
      <w:r w:rsidR="003C50EC">
        <w:rPr>
          <w:rFonts w:ascii="Times New Roman" w:hAnsi="Times New Roman" w:cs="Times New Roman"/>
        </w:rPr>
        <w:t xml:space="preserve">na condição de </w:t>
      </w:r>
      <w:r w:rsidR="007462D9">
        <w:rPr>
          <w:rFonts w:ascii="Times New Roman" w:hAnsi="Times New Roman" w:cs="Times New Roman"/>
        </w:rPr>
        <w:t>estabelecimento industria</w:t>
      </w:r>
      <w:r w:rsidR="00CB2B56">
        <w:rPr>
          <w:rFonts w:ascii="Times New Roman" w:hAnsi="Times New Roman" w:cs="Times New Roman"/>
        </w:rPr>
        <w:t>liza</w:t>
      </w:r>
      <w:r w:rsidR="007462D9">
        <w:rPr>
          <w:rFonts w:ascii="Times New Roman" w:hAnsi="Times New Roman" w:cs="Times New Roman"/>
        </w:rPr>
        <w:t>dor destinatário</w:t>
      </w:r>
      <w:r w:rsidR="00CC1085" w:rsidRPr="00CC1085">
        <w:rPr>
          <w:rFonts w:ascii="Times New Roman" w:hAnsi="Times New Roman" w:cs="Times New Roman"/>
        </w:rPr>
        <w:t>, a responsabilidade pelo pagamento do ICMS devido em relação às operações antecedentes.</w:t>
      </w:r>
      <w:r w:rsidR="00000283">
        <w:rPr>
          <w:rFonts w:ascii="Times New Roman" w:hAnsi="Times New Roman" w:cs="Times New Roman"/>
        </w:rPr>
        <w:t xml:space="preserve">  </w:t>
      </w:r>
      <w:r w:rsidR="00882EBA">
        <w:rPr>
          <w:rFonts w:ascii="Times New Roman" w:hAnsi="Times New Roman" w:cs="Times New Roman"/>
        </w:rPr>
        <w:t xml:space="preserve">Como </w:t>
      </w:r>
      <w:r w:rsidR="00000283">
        <w:rPr>
          <w:rFonts w:ascii="Times New Roman" w:hAnsi="Times New Roman" w:cs="Times New Roman"/>
        </w:rPr>
        <w:t>responsável pelo pagamento do ICMS diferido</w:t>
      </w:r>
      <w:r w:rsidR="007462D9">
        <w:rPr>
          <w:rFonts w:ascii="Times New Roman" w:hAnsi="Times New Roman" w:cs="Times New Roman"/>
        </w:rPr>
        <w:t xml:space="preserve">, após o seu pagamento, </w:t>
      </w:r>
      <w:r w:rsidR="00000283">
        <w:rPr>
          <w:rFonts w:ascii="Times New Roman" w:hAnsi="Times New Roman" w:cs="Times New Roman"/>
        </w:rPr>
        <w:t xml:space="preserve">terá direito ao crédito </w:t>
      </w:r>
      <w:r w:rsidR="007462D9">
        <w:rPr>
          <w:rFonts w:ascii="Times New Roman" w:hAnsi="Times New Roman" w:cs="Times New Roman"/>
        </w:rPr>
        <w:t>do imposto observadas</w:t>
      </w:r>
      <w:r w:rsidR="00D71C8E">
        <w:rPr>
          <w:rFonts w:ascii="Times New Roman" w:hAnsi="Times New Roman" w:cs="Times New Roman"/>
        </w:rPr>
        <w:t xml:space="preserve"> as normas d</w:t>
      </w:r>
      <w:r w:rsidR="00D71C8E" w:rsidRPr="00D71C8E">
        <w:rPr>
          <w:rFonts w:ascii="Times New Roman" w:hAnsi="Times New Roman" w:cs="Times New Roman"/>
        </w:rPr>
        <w:t>o artigo 36 da Lei nº 26</w:t>
      </w:r>
      <w:r w:rsidR="00D71C8E">
        <w:rPr>
          <w:rFonts w:ascii="Times New Roman" w:hAnsi="Times New Roman" w:cs="Times New Roman"/>
        </w:rPr>
        <w:t>57/96</w:t>
      </w:r>
      <w:r w:rsidR="00D71C8E" w:rsidRPr="00D71C8E">
        <w:rPr>
          <w:rFonts w:ascii="Times New Roman" w:hAnsi="Times New Roman" w:cs="Times New Roman"/>
        </w:rPr>
        <w:t>.</w:t>
      </w:r>
      <w:r w:rsidR="00882EBA">
        <w:rPr>
          <w:rFonts w:ascii="Times New Roman" w:hAnsi="Times New Roman" w:cs="Times New Roman"/>
        </w:rPr>
        <w:t xml:space="preserve"> </w:t>
      </w:r>
      <w:r w:rsidR="007D282A">
        <w:rPr>
          <w:rFonts w:ascii="Times New Roman" w:hAnsi="Times New Roman" w:cs="Times New Roman"/>
        </w:rPr>
        <w:t xml:space="preserve"> </w:t>
      </w:r>
      <w:r w:rsidR="00CB2B56">
        <w:rPr>
          <w:rFonts w:ascii="Times New Roman" w:hAnsi="Times New Roman" w:cs="Times New Roman"/>
        </w:rPr>
        <w:t xml:space="preserve">A subsequente saída do produto acabado obedecerá às normas gerais de tributação. </w:t>
      </w:r>
    </w:p>
    <w:p w:rsidR="00CB2B56" w:rsidRDefault="00CB2B56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</w:p>
    <w:p w:rsidR="00CD36EB" w:rsidRDefault="00CB2B56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D282A">
        <w:rPr>
          <w:rFonts w:ascii="Times New Roman" w:hAnsi="Times New Roman" w:cs="Times New Roman"/>
        </w:rPr>
        <w:t xml:space="preserve">as remessas interestaduais das mesmas mercadorias </w:t>
      </w:r>
      <w:r>
        <w:rPr>
          <w:rFonts w:ascii="Times New Roman" w:hAnsi="Times New Roman" w:cs="Times New Roman"/>
        </w:rPr>
        <w:t xml:space="preserve">relacionadas na cláusula primeira do Protocolo ICMS 44/13 </w:t>
      </w:r>
      <w:r w:rsidR="007D282A">
        <w:rPr>
          <w:rFonts w:ascii="Times New Roman" w:hAnsi="Times New Roman" w:cs="Times New Roman"/>
        </w:rPr>
        <w:t>para os estados mencionados, a responsabilidade pelo pagamento do ICMS será do estabelecimento industrializador destinatário.</w:t>
      </w:r>
    </w:p>
    <w:p w:rsidR="00CD36EB" w:rsidRDefault="00CD36EB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</w:p>
    <w:p w:rsidR="00CD36EB" w:rsidRDefault="00882EBA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partir de 01/07/2016 a consulente deve </w:t>
      </w:r>
      <w:r w:rsidR="007D282A">
        <w:rPr>
          <w:rFonts w:ascii="Times New Roman" w:hAnsi="Times New Roman" w:cs="Times New Roman"/>
        </w:rPr>
        <w:t xml:space="preserve">proceder de acordo com </w:t>
      </w:r>
      <w:r>
        <w:rPr>
          <w:rFonts w:ascii="Times New Roman" w:hAnsi="Times New Roman" w:cs="Times New Roman"/>
        </w:rPr>
        <w:t>as normas do Convênio ICMS 36/16 nas operações com os estados signatários.</w:t>
      </w:r>
    </w:p>
    <w:p w:rsidR="00CD36EB" w:rsidRDefault="00CD36EB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</w:p>
    <w:p w:rsidR="00CD36EB" w:rsidRDefault="006E2542" w:rsidP="006E2542">
      <w:pPr>
        <w:spacing w:after="0" w:line="360" w:lineRule="auto"/>
        <w:ind w:right="-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62D9">
        <w:rPr>
          <w:rFonts w:ascii="Times New Roman" w:hAnsi="Times New Roman" w:cs="Times New Roman"/>
        </w:rPr>
        <w:t xml:space="preserve">Verificada a necessidade da </w:t>
      </w:r>
      <w:r w:rsidR="00E51044">
        <w:rPr>
          <w:rFonts w:ascii="Times New Roman" w:hAnsi="Times New Roman" w:cs="Times New Roman"/>
        </w:rPr>
        <w:t xml:space="preserve">alteração da resposta </w:t>
      </w:r>
      <w:proofErr w:type="spellStart"/>
      <w:r w:rsidR="00E51044" w:rsidRPr="00E51044">
        <w:rPr>
          <w:rFonts w:ascii="Times New Roman" w:hAnsi="Times New Roman" w:cs="Times New Roman"/>
          <w:i/>
        </w:rPr>
        <w:t>ex</w:t>
      </w:r>
      <w:proofErr w:type="spellEnd"/>
      <w:r w:rsidR="006574FC">
        <w:rPr>
          <w:rFonts w:ascii="Times New Roman" w:hAnsi="Times New Roman" w:cs="Times New Roman"/>
          <w:i/>
        </w:rPr>
        <w:t xml:space="preserve"> </w:t>
      </w:r>
      <w:proofErr w:type="spellStart"/>
      <w:r w:rsidR="00E51044" w:rsidRPr="00E51044">
        <w:rPr>
          <w:rFonts w:ascii="Times New Roman" w:hAnsi="Times New Roman" w:cs="Times New Roman"/>
          <w:i/>
        </w:rPr>
        <w:t>officio</w:t>
      </w:r>
      <w:proofErr w:type="spellEnd"/>
      <w:r w:rsidR="00E51044">
        <w:rPr>
          <w:rFonts w:ascii="Times New Roman" w:hAnsi="Times New Roman" w:cs="Times New Roman"/>
        </w:rPr>
        <w:t xml:space="preserve">, tendo em vista o disposto no </w:t>
      </w:r>
      <w:r>
        <w:rPr>
          <w:rFonts w:ascii="Times New Roman" w:hAnsi="Times New Roman" w:cs="Times New Roman"/>
        </w:rPr>
        <w:t xml:space="preserve">artigo 80 da Constituição Estadual e </w:t>
      </w:r>
      <w:r w:rsidR="000B3286">
        <w:rPr>
          <w:rFonts w:ascii="Times New Roman" w:hAnsi="Times New Roman" w:cs="Times New Roman"/>
        </w:rPr>
        <w:t xml:space="preserve">o artigo </w:t>
      </w:r>
      <w:r w:rsidR="000E2A61">
        <w:rPr>
          <w:rFonts w:ascii="Times New Roman" w:hAnsi="Times New Roman" w:cs="Times New Roman"/>
        </w:rPr>
        <w:t>59-A da Lei n.º 2.657/96</w:t>
      </w:r>
      <w:r w:rsidR="004D4B8C">
        <w:rPr>
          <w:rFonts w:ascii="Times New Roman" w:hAnsi="Times New Roman" w:cs="Times New Roman"/>
        </w:rPr>
        <w:t xml:space="preserve">, </w:t>
      </w:r>
      <w:r w:rsidR="000E2A61">
        <w:rPr>
          <w:rFonts w:ascii="Times New Roman" w:hAnsi="Times New Roman" w:cs="Times New Roman"/>
        </w:rPr>
        <w:t>procedimentos equivocados por parte da consulente</w:t>
      </w:r>
      <w:r w:rsidR="00372658">
        <w:rPr>
          <w:rFonts w:ascii="Times New Roman" w:hAnsi="Times New Roman" w:cs="Times New Roman"/>
        </w:rPr>
        <w:t xml:space="preserve"> direta ou indiretamente relacionados à matéria objeto da presente consulta </w:t>
      </w:r>
      <w:r w:rsidR="000E2A61">
        <w:rPr>
          <w:rFonts w:ascii="Times New Roman" w:hAnsi="Times New Roman" w:cs="Times New Roman"/>
        </w:rPr>
        <w:t xml:space="preserve">não </w:t>
      </w:r>
      <w:r w:rsidR="00372658">
        <w:rPr>
          <w:rFonts w:ascii="Times New Roman" w:hAnsi="Times New Roman" w:cs="Times New Roman"/>
        </w:rPr>
        <w:t xml:space="preserve">devem dar ensejo à aplicação de </w:t>
      </w:r>
      <w:r w:rsidR="000E2A61">
        <w:rPr>
          <w:rFonts w:ascii="Times New Roman" w:hAnsi="Times New Roman" w:cs="Times New Roman"/>
        </w:rPr>
        <w:t>penalidade</w:t>
      </w:r>
      <w:r w:rsidR="00372658">
        <w:rPr>
          <w:rFonts w:ascii="Times New Roman" w:hAnsi="Times New Roman" w:cs="Times New Roman"/>
        </w:rPr>
        <w:t>s</w:t>
      </w:r>
      <w:r w:rsidR="006574FC">
        <w:rPr>
          <w:rFonts w:ascii="Times New Roman" w:hAnsi="Times New Roman" w:cs="Times New Roman"/>
        </w:rPr>
        <w:t xml:space="preserve">, devendo </w:t>
      </w:r>
      <w:r w:rsidR="000E22C8">
        <w:rPr>
          <w:rFonts w:ascii="Times New Roman" w:hAnsi="Times New Roman" w:cs="Times New Roman"/>
        </w:rPr>
        <w:t>a mesma</w:t>
      </w:r>
      <w:r w:rsidR="00FF323A">
        <w:rPr>
          <w:rFonts w:ascii="Times New Roman" w:hAnsi="Times New Roman" w:cs="Times New Roman"/>
        </w:rPr>
        <w:t xml:space="preserve">, considerando-se os recolhimentos já efetuados nas operações, </w:t>
      </w:r>
      <w:r w:rsidR="000E2A61">
        <w:rPr>
          <w:rFonts w:ascii="Times New Roman" w:hAnsi="Times New Roman" w:cs="Times New Roman"/>
        </w:rPr>
        <w:t xml:space="preserve">proceder ao recolhimento do </w:t>
      </w:r>
      <w:r w:rsidR="006574FC">
        <w:rPr>
          <w:rFonts w:ascii="Times New Roman" w:hAnsi="Times New Roman" w:cs="Times New Roman"/>
        </w:rPr>
        <w:t>imposto</w:t>
      </w:r>
      <w:r w:rsidR="000E2A61">
        <w:rPr>
          <w:rFonts w:ascii="Times New Roman" w:hAnsi="Times New Roman" w:cs="Times New Roman"/>
        </w:rPr>
        <w:t xml:space="preserve">, se devido, atualizado </w:t>
      </w:r>
      <w:r w:rsidR="001D7144">
        <w:rPr>
          <w:rFonts w:ascii="Times New Roman" w:hAnsi="Times New Roman" w:cs="Times New Roman"/>
        </w:rPr>
        <w:t>monetariamente</w:t>
      </w:r>
      <w:r w:rsidR="000E2A61">
        <w:rPr>
          <w:rFonts w:ascii="Times New Roman" w:hAnsi="Times New Roman" w:cs="Times New Roman"/>
        </w:rPr>
        <w:t xml:space="preserve">, </w:t>
      </w:r>
      <w:r w:rsidR="001D7144">
        <w:rPr>
          <w:rFonts w:ascii="Times New Roman" w:hAnsi="Times New Roman" w:cs="Times New Roman"/>
        </w:rPr>
        <w:t xml:space="preserve">observado ainda o disposto no artigo 162 do Decreto n.º </w:t>
      </w:r>
      <w:r w:rsidR="00715BDF">
        <w:rPr>
          <w:rFonts w:ascii="Times New Roman" w:hAnsi="Times New Roman" w:cs="Times New Roman"/>
        </w:rPr>
        <w:t>2</w:t>
      </w:r>
      <w:r w:rsidR="001D7144">
        <w:rPr>
          <w:rFonts w:ascii="Times New Roman" w:hAnsi="Times New Roman" w:cs="Times New Roman"/>
        </w:rPr>
        <w:t>.</w:t>
      </w:r>
      <w:r w:rsidR="00715BDF">
        <w:rPr>
          <w:rFonts w:ascii="Times New Roman" w:hAnsi="Times New Roman" w:cs="Times New Roman"/>
        </w:rPr>
        <w:t>4</w:t>
      </w:r>
      <w:r w:rsidR="005A60B6">
        <w:rPr>
          <w:rFonts w:ascii="Times New Roman" w:hAnsi="Times New Roman" w:cs="Times New Roman"/>
        </w:rPr>
        <w:t>73/79 e o prazo previsto na Resolução SER n.º 317/06.</w:t>
      </w:r>
    </w:p>
    <w:p w:rsidR="00CD36EB" w:rsidRDefault="00CD36EB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</w:p>
    <w:p w:rsidR="002B26CC" w:rsidRDefault="002B26CC" w:rsidP="00CD36EB">
      <w:pPr>
        <w:spacing w:after="0" w:line="360" w:lineRule="auto"/>
        <w:ind w:right="-994" w:firstLine="708"/>
        <w:jc w:val="both"/>
        <w:rPr>
          <w:rFonts w:ascii="Times New Roman" w:hAnsi="Times New Roman" w:cs="Times New Roman"/>
        </w:rPr>
      </w:pPr>
      <w:r w:rsidRPr="002B26CC">
        <w:rPr>
          <w:rFonts w:ascii="Times New Roman" w:hAnsi="Times New Roman" w:cs="Times New Roman"/>
        </w:rPr>
        <w:t xml:space="preserve">Fique a consulente ciente de que esta consulta perderá automaticamente </w:t>
      </w:r>
      <w:r w:rsidR="00633F0E">
        <w:rPr>
          <w:rFonts w:ascii="Times New Roman" w:hAnsi="Times New Roman" w:cs="Times New Roman"/>
        </w:rPr>
        <w:t xml:space="preserve">caso </w:t>
      </w:r>
      <w:r w:rsidRPr="002B26CC">
        <w:rPr>
          <w:rFonts w:ascii="Times New Roman" w:hAnsi="Times New Roman" w:cs="Times New Roman"/>
        </w:rPr>
        <w:t>seja editada norma superveniente dispondo de forma contrária.</w:t>
      </w:r>
    </w:p>
    <w:p w:rsidR="00633F0E" w:rsidRDefault="00633F0E" w:rsidP="008E487B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</w:p>
    <w:p w:rsidR="00455FAC" w:rsidRDefault="00462AC3" w:rsidP="008E487B">
      <w:pPr>
        <w:spacing w:after="0" w:line="360" w:lineRule="auto"/>
        <w:ind w:right="-852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2D11FE">
        <w:rPr>
          <w:rFonts w:ascii="Times New Roman" w:hAnsi="Times New Roman" w:cs="Times New Roman"/>
        </w:rPr>
        <w:t xml:space="preserve"> </w:t>
      </w:r>
      <w:r w:rsidR="001D7144">
        <w:rPr>
          <w:rFonts w:ascii="Times New Roman" w:hAnsi="Times New Roman" w:cs="Times New Roman"/>
        </w:rPr>
        <w:t xml:space="preserve">26 </w:t>
      </w:r>
      <w:r w:rsidR="002D11FE">
        <w:rPr>
          <w:rFonts w:ascii="Times New Roman" w:hAnsi="Times New Roman" w:cs="Times New Roman"/>
        </w:rPr>
        <w:t xml:space="preserve">de </w:t>
      </w:r>
      <w:r w:rsidR="001D7144">
        <w:rPr>
          <w:rFonts w:ascii="Times New Roman" w:hAnsi="Times New Roman" w:cs="Times New Roman"/>
        </w:rPr>
        <w:t>julho d</w:t>
      </w:r>
      <w:r w:rsidR="002D11FE">
        <w:rPr>
          <w:rFonts w:ascii="Times New Roman" w:hAnsi="Times New Roman" w:cs="Times New Roman"/>
        </w:rPr>
        <w:t>e 2</w:t>
      </w:r>
      <w:r w:rsidR="00687BE4">
        <w:rPr>
          <w:rFonts w:ascii="Times New Roman" w:hAnsi="Times New Roman" w:cs="Times New Roman"/>
        </w:rPr>
        <w:t>.</w:t>
      </w:r>
      <w:r w:rsidR="002D11FE">
        <w:rPr>
          <w:rFonts w:ascii="Times New Roman" w:hAnsi="Times New Roman" w:cs="Times New Roman"/>
        </w:rPr>
        <w:t>01</w:t>
      </w:r>
      <w:r w:rsidR="001D7144">
        <w:rPr>
          <w:rFonts w:ascii="Times New Roman" w:hAnsi="Times New Roman" w:cs="Times New Roman"/>
        </w:rPr>
        <w:t>6</w:t>
      </w:r>
      <w:r w:rsidR="002D11FE">
        <w:rPr>
          <w:rFonts w:ascii="Times New Roman" w:hAnsi="Times New Roman" w:cs="Times New Roman"/>
        </w:rPr>
        <w:t>.</w:t>
      </w:r>
    </w:p>
    <w:sectPr w:rsidR="00455FAC" w:rsidSect="00180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01" w:rsidRDefault="00616D01" w:rsidP="00546EC0">
      <w:pPr>
        <w:spacing w:after="0" w:line="240" w:lineRule="auto"/>
      </w:pPr>
      <w:r>
        <w:separator/>
      </w:r>
    </w:p>
  </w:endnote>
  <w:endnote w:type="continuationSeparator" w:id="0">
    <w:p w:rsidR="00616D01" w:rsidRDefault="00616D01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5A" w:rsidRDefault="001806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79" w:rsidRPr="005333BB" w:rsidRDefault="00AB3D79" w:rsidP="00FF0E80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</w:t>
    </w:r>
    <w:r w:rsidRPr="005333BB">
      <w:rPr>
        <w:rFonts w:ascii="Times New Roman" w:hAnsi="Times New Roman" w:cs="Times New Roman"/>
        <w:sz w:val="20"/>
        <w:szCs w:val="20"/>
      </w:rPr>
      <w:t>Superintendência de Tributação</w:t>
    </w:r>
  </w:p>
  <w:p w:rsidR="00AB3D79" w:rsidRDefault="00AB3D79" w:rsidP="00FF0E80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Av. Presidente Vargas, 670, 10º andar, Centro, Rio de Janeiro.</w:t>
    </w:r>
  </w:p>
  <w:p w:rsidR="00AB3D79" w:rsidRDefault="00AB3D7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5A" w:rsidRDefault="001806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01" w:rsidRDefault="00616D01" w:rsidP="00546EC0">
      <w:pPr>
        <w:spacing w:after="0" w:line="240" w:lineRule="auto"/>
      </w:pPr>
      <w:r>
        <w:separator/>
      </w:r>
    </w:p>
  </w:footnote>
  <w:footnote w:type="continuationSeparator" w:id="0">
    <w:p w:rsidR="00616D01" w:rsidRDefault="00616D01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5A" w:rsidRDefault="0018065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0C10EE" w:rsidRPr="00E956AD" w:rsidTr="002D7022">
      <w:trPr>
        <w:cantSplit/>
        <w:trHeight w:val="1180"/>
      </w:trPr>
      <w:tc>
        <w:tcPr>
          <w:tcW w:w="6310" w:type="dxa"/>
        </w:tcPr>
        <w:p w:rsidR="000C10EE" w:rsidRPr="002E7B20" w:rsidRDefault="000C10EE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797B97BD" wp14:editId="15792027">
                <wp:extent cx="914400" cy="895350"/>
                <wp:effectExtent l="0" t="0" r="0" b="0"/>
                <wp:docPr id="1" name="Imagem 4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10EE" w:rsidRPr="002E7B20" w:rsidRDefault="000C10EE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0C10EE" w:rsidRPr="002E7B20" w:rsidRDefault="000C10EE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0C10EE" w:rsidRPr="002E7B20" w:rsidRDefault="000C10EE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0C10EE" w:rsidRPr="002E7B20" w:rsidRDefault="000C10EE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0C10EE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0C10EE" w:rsidRPr="002E7B20" w:rsidRDefault="000C10EE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0C10EE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0C10EE" w:rsidRPr="002E7B20" w:rsidRDefault="000C10EE" w:rsidP="00F303B5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079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3391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/2014</w:t>
                </w:r>
              </w:p>
            </w:tc>
          </w:tr>
          <w:tr w:rsidR="000C10EE" w:rsidRPr="00E956A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0C10EE" w:rsidRPr="00E956AD" w:rsidRDefault="000C10EE" w:rsidP="00F303B5">
                <w:pPr>
                  <w:spacing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 w:rsidRPr="00E956AD">
                  <w:rPr>
                    <w:rFonts w:ascii="Times New Roman" w:hAnsi="Times New Roman"/>
                    <w:sz w:val="20"/>
                    <w:lang w:val="en-US"/>
                  </w:rPr>
                  <w:t xml:space="preserve">Data: </w:t>
                </w:r>
                <w:r>
                  <w:rPr>
                    <w:rFonts w:ascii="Times New Roman" w:hAnsi="Times New Roman"/>
                    <w:sz w:val="20"/>
                    <w:lang w:val="en-US"/>
                  </w:rPr>
                  <w:t>08</w:t>
                </w:r>
                <w:r w:rsidRPr="00E956AD">
                  <w:rPr>
                    <w:rFonts w:ascii="Times New Roman" w:hAnsi="Times New Roman"/>
                    <w:sz w:val="20"/>
                    <w:lang w:val="en-US"/>
                  </w:rPr>
                  <w:t>/</w:t>
                </w:r>
                <w:r>
                  <w:rPr>
                    <w:rFonts w:ascii="Times New Roman" w:hAnsi="Times New Roman"/>
                    <w:sz w:val="20"/>
                    <w:lang w:val="en-US"/>
                  </w:rPr>
                  <w:t>09</w:t>
                </w:r>
                <w:r w:rsidRPr="00E956AD">
                  <w:rPr>
                    <w:rFonts w:ascii="Times New Roman" w:hAnsi="Times New Roman"/>
                    <w:sz w:val="20"/>
                    <w:lang w:val="en-US"/>
                  </w:rPr>
                  <w:t>/</w:t>
                </w:r>
                <w:r>
                  <w:rPr>
                    <w:rFonts w:ascii="Times New Roman" w:hAnsi="Times New Roman"/>
                    <w:sz w:val="20"/>
                    <w:lang w:val="en-US"/>
                  </w:rPr>
                  <w:t>14</w:t>
                </w:r>
                <w:r w:rsidRPr="00E956AD">
                  <w:rPr>
                    <w:rFonts w:ascii="Times New Roman" w:hAnsi="Times New Roman"/>
                    <w:sz w:val="20"/>
                    <w:lang w:val="en-US"/>
                  </w:rPr>
                  <w:t xml:space="preserve"> – </w:t>
                </w:r>
                <w:proofErr w:type="spellStart"/>
                <w:r w:rsidRPr="00E956AD">
                  <w:rPr>
                    <w:rFonts w:ascii="Times New Roman" w:hAnsi="Times New Roman"/>
                    <w:sz w:val="20"/>
                    <w:lang w:val="en-US"/>
                  </w:rPr>
                  <w:t>Fls</w:t>
                </w:r>
                <w:proofErr w:type="spellEnd"/>
                <w:r w:rsidRPr="00F303B5">
                  <w:rPr>
                    <w:rFonts w:ascii="Times New Roman" w:hAnsi="Times New Roman"/>
                    <w:sz w:val="20"/>
                    <w:lang w:val="en-US"/>
                  </w:rPr>
                  <w:t xml:space="preserve">.: </w:t>
                </w:r>
                <w:r w:rsidRPr="00F303B5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F303B5">
                  <w:rPr>
                    <w:rFonts w:ascii="Times New Roman" w:hAnsi="Times New Roman"/>
                    <w:sz w:val="20"/>
                    <w:lang w:val="en-US"/>
                  </w:rPr>
                  <w:instrText>PAGE   \* MERGEFORMAT</w:instrText>
                </w:r>
                <w:r w:rsidRPr="00F303B5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BD1745">
                  <w:rPr>
                    <w:rFonts w:ascii="Times New Roman" w:hAnsi="Times New Roman"/>
                    <w:noProof/>
                    <w:sz w:val="20"/>
                    <w:lang w:val="en-US"/>
                  </w:rPr>
                  <w:t>50</w:t>
                </w:r>
                <w:r w:rsidRPr="00F303B5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0C10EE" w:rsidRPr="00E956AD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0C10EE" w:rsidRPr="00E956AD" w:rsidRDefault="000C10EE" w:rsidP="003328FB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  <w:lang w:val="en-US"/>
                  </w:rPr>
                </w:pPr>
              </w:p>
            </w:tc>
          </w:tr>
        </w:tbl>
        <w:p w:rsidR="000C10EE" w:rsidRPr="00E956AD" w:rsidRDefault="000C10EE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  <w:lang w:val="en-US"/>
            </w:rPr>
          </w:pPr>
        </w:p>
      </w:tc>
    </w:tr>
  </w:tbl>
  <w:p w:rsidR="000C10EE" w:rsidRPr="00E956AD" w:rsidRDefault="000C10EE" w:rsidP="00462AC3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5A" w:rsidRDefault="001806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1926C9"/>
    <w:multiLevelType w:val="hybridMultilevel"/>
    <w:tmpl w:val="0180DE0E"/>
    <w:lvl w:ilvl="0" w:tplc="7D3CC6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283"/>
    <w:rsid w:val="000016C8"/>
    <w:rsid w:val="000055B0"/>
    <w:rsid w:val="0002389A"/>
    <w:rsid w:val="00032377"/>
    <w:rsid w:val="0008336D"/>
    <w:rsid w:val="000B3286"/>
    <w:rsid w:val="000C10EE"/>
    <w:rsid w:val="000C433B"/>
    <w:rsid w:val="000C7A26"/>
    <w:rsid w:val="000D6F55"/>
    <w:rsid w:val="000E22C8"/>
    <w:rsid w:val="000E2A61"/>
    <w:rsid w:val="000E3D66"/>
    <w:rsid w:val="000F2525"/>
    <w:rsid w:val="000F30B1"/>
    <w:rsid w:val="000F63EE"/>
    <w:rsid w:val="000F78D6"/>
    <w:rsid w:val="00120A4A"/>
    <w:rsid w:val="0014427E"/>
    <w:rsid w:val="0014555C"/>
    <w:rsid w:val="00145AF5"/>
    <w:rsid w:val="0015492A"/>
    <w:rsid w:val="00157300"/>
    <w:rsid w:val="00166FDB"/>
    <w:rsid w:val="001735E2"/>
    <w:rsid w:val="001760E5"/>
    <w:rsid w:val="0018065A"/>
    <w:rsid w:val="001C34A0"/>
    <w:rsid w:val="001C7B3E"/>
    <w:rsid w:val="001D7144"/>
    <w:rsid w:val="001E4F56"/>
    <w:rsid w:val="001F309B"/>
    <w:rsid w:val="001F3F43"/>
    <w:rsid w:val="001F7132"/>
    <w:rsid w:val="002124DC"/>
    <w:rsid w:val="002207FF"/>
    <w:rsid w:val="002351A8"/>
    <w:rsid w:val="002436D8"/>
    <w:rsid w:val="00251988"/>
    <w:rsid w:val="00253080"/>
    <w:rsid w:val="00265632"/>
    <w:rsid w:val="0028490E"/>
    <w:rsid w:val="00286428"/>
    <w:rsid w:val="00296DAB"/>
    <w:rsid w:val="002B0338"/>
    <w:rsid w:val="002B0BCE"/>
    <w:rsid w:val="002B25A7"/>
    <w:rsid w:val="002B26CC"/>
    <w:rsid w:val="002B2969"/>
    <w:rsid w:val="002C0A97"/>
    <w:rsid w:val="002D11FE"/>
    <w:rsid w:val="002D3A96"/>
    <w:rsid w:val="002D6C2A"/>
    <w:rsid w:val="002F5AAC"/>
    <w:rsid w:val="00300997"/>
    <w:rsid w:val="003067AC"/>
    <w:rsid w:val="00310388"/>
    <w:rsid w:val="003136D9"/>
    <w:rsid w:val="003149A2"/>
    <w:rsid w:val="00322AAD"/>
    <w:rsid w:val="003328FB"/>
    <w:rsid w:val="003343FA"/>
    <w:rsid w:val="003453A9"/>
    <w:rsid w:val="00350921"/>
    <w:rsid w:val="00352B79"/>
    <w:rsid w:val="00355B36"/>
    <w:rsid w:val="00360BFA"/>
    <w:rsid w:val="00360C1E"/>
    <w:rsid w:val="0036656D"/>
    <w:rsid w:val="00370985"/>
    <w:rsid w:val="00372658"/>
    <w:rsid w:val="00381AF3"/>
    <w:rsid w:val="003A214A"/>
    <w:rsid w:val="003B075D"/>
    <w:rsid w:val="003C3FF2"/>
    <w:rsid w:val="003C50EC"/>
    <w:rsid w:val="003D672A"/>
    <w:rsid w:val="003E2C18"/>
    <w:rsid w:val="003E5502"/>
    <w:rsid w:val="003E5ED9"/>
    <w:rsid w:val="003E6758"/>
    <w:rsid w:val="003E6B1F"/>
    <w:rsid w:val="00411549"/>
    <w:rsid w:val="00420DD7"/>
    <w:rsid w:val="00423EF2"/>
    <w:rsid w:val="004241D0"/>
    <w:rsid w:val="00426DED"/>
    <w:rsid w:val="004420DE"/>
    <w:rsid w:val="00450B77"/>
    <w:rsid w:val="00455385"/>
    <w:rsid w:val="00455FAC"/>
    <w:rsid w:val="00462AC3"/>
    <w:rsid w:val="0046724C"/>
    <w:rsid w:val="00472D5E"/>
    <w:rsid w:val="00480304"/>
    <w:rsid w:val="00481E33"/>
    <w:rsid w:val="00481F61"/>
    <w:rsid w:val="00482C57"/>
    <w:rsid w:val="00483017"/>
    <w:rsid w:val="004A02C8"/>
    <w:rsid w:val="004A0CCF"/>
    <w:rsid w:val="004B6BAC"/>
    <w:rsid w:val="004C1EB5"/>
    <w:rsid w:val="004D3BD9"/>
    <w:rsid w:val="004D4B8C"/>
    <w:rsid w:val="004E2759"/>
    <w:rsid w:val="004F6A13"/>
    <w:rsid w:val="004F7594"/>
    <w:rsid w:val="004F7BA4"/>
    <w:rsid w:val="00501DB0"/>
    <w:rsid w:val="00520EB8"/>
    <w:rsid w:val="005220FC"/>
    <w:rsid w:val="005333BB"/>
    <w:rsid w:val="00536CCE"/>
    <w:rsid w:val="00542EA5"/>
    <w:rsid w:val="00546EC0"/>
    <w:rsid w:val="00554878"/>
    <w:rsid w:val="005578E8"/>
    <w:rsid w:val="005707CA"/>
    <w:rsid w:val="00584587"/>
    <w:rsid w:val="005860DD"/>
    <w:rsid w:val="005A37D1"/>
    <w:rsid w:val="005A5196"/>
    <w:rsid w:val="005A60B6"/>
    <w:rsid w:val="005A674F"/>
    <w:rsid w:val="005A6F87"/>
    <w:rsid w:val="005B395F"/>
    <w:rsid w:val="005B3F98"/>
    <w:rsid w:val="005C5FC9"/>
    <w:rsid w:val="005D2324"/>
    <w:rsid w:val="005D7D35"/>
    <w:rsid w:val="005E14DA"/>
    <w:rsid w:val="005E7A38"/>
    <w:rsid w:val="005F26B5"/>
    <w:rsid w:val="005F47B6"/>
    <w:rsid w:val="005F55C3"/>
    <w:rsid w:val="0060127B"/>
    <w:rsid w:val="00602B62"/>
    <w:rsid w:val="00607E07"/>
    <w:rsid w:val="00616D01"/>
    <w:rsid w:val="006208E3"/>
    <w:rsid w:val="00624BBB"/>
    <w:rsid w:val="00631EE8"/>
    <w:rsid w:val="00633F0E"/>
    <w:rsid w:val="00635FA9"/>
    <w:rsid w:val="0065393E"/>
    <w:rsid w:val="00654C1A"/>
    <w:rsid w:val="006574FC"/>
    <w:rsid w:val="006637B6"/>
    <w:rsid w:val="0066751B"/>
    <w:rsid w:val="00686414"/>
    <w:rsid w:val="00687BE4"/>
    <w:rsid w:val="006A2586"/>
    <w:rsid w:val="006A270F"/>
    <w:rsid w:val="006E153E"/>
    <w:rsid w:val="006E2542"/>
    <w:rsid w:val="006E73A4"/>
    <w:rsid w:val="006F06F0"/>
    <w:rsid w:val="006F48A8"/>
    <w:rsid w:val="006F7509"/>
    <w:rsid w:val="0070260F"/>
    <w:rsid w:val="00715BDF"/>
    <w:rsid w:val="00720C64"/>
    <w:rsid w:val="00732990"/>
    <w:rsid w:val="0074027D"/>
    <w:rsid w:val="00740379"/>
    <w:rsid w:val="007462D9"/>
    <w:rsid w:val="0075364B"/>
    <w:rsid w:val="007637EC"/>
    <w:rsid w:val="00766220"/>
    <w:rsid w:val="00773AC1"/>
    <w:rsid w:val="00784FE7"/>
    <w:rsid w:val="00793FB7"/>
    <w:rsid w:val="007A3336"/>
    <w:rsid w:val="007B28C3"/>
    <w:rsid w:val="007B45C4"/>
    <w:rsid w:val="007D282A"/>
    <w:rsid w:val="007E33A3"/>
    <w:rsid w:val="00805A34"/>
    <w:rsid w:val="00806909"/>
    <w:rsid w:val="00820383"/>
    <w:rsid w:val="00825D6E"/>
    <w:rsid w:val="00827F00"/>
    <w:rsid w:val="00844E38"/>
    <w:rsid w:val="00862531"/>
    <w:rsid w:val="00865C57"/>
    <w:rsid w:val="00877E6E"/>
    <w:rsid w:val="00882EBA"/>
    <w:rsid w:val="0089032B"/>
    <w:rsid w:val="008B1870"/>
    <w:rsid w:val="008B2817"/>
    <w:rsid w:val="008C2431"/>
    <w:rsid w:val="008D4306"/>
    <w:rsid w:val="008E487B"/>
    <w:rsid w:val="008F3D1E"/>
    <w:rsid w:val="008F716D"/>
    <w:rsid w:val="00924E63"/>
    <w:rsid w:val="009255A5"/>
    <w:rsid w:val="0093290E"/>
    <w:rsid w:val="00934E4E"/>
    <w:rsid w:val="0094610C"/>
    <w:rsid w:val="00951E1D"/>
    <w:rsid w:val="009760EF"/>
    <w:rsid w:val="00987CE9"/>
    <w:rsid w:val="00994540"/>
    <w:rsid w:val="00997BA7"/>
    <w:rsid w:val="009A4E8D"/>
    <w:rsid w:val="009C2B3E"/>
    <w:rsid w:val="009C52C7"/>
    <w:rsid w:val="009D1501"/>
    <w:rsid w:val="009E2E6B"/>
    <w:rsid w:val="009F6AAA"/>
    <w:rsid w:val="009F7DF5"/>
    <w:rsid w:val="00A01E1E"/>
    <w:rsid w:val="00A054C6"/>
    <w:rsid w:val="00A15F28"/>
    <w:rsid w:val="00A237E4"/>
    <w:rsid w:val="00A27902"/>
    <w:rsid w:val="00A30CE6"/>
    <w:rsid w:val="00A31629"/>
    <w:rsid w:val="00A353CA"/>
    <w:rsid w:val="00A364D8"/>
    <w:rsid w:val="00A73790"/>
    <w:rsid w:val="00A73B7E"/>
    <w:rsid w:val="00A75A0C"/>
    <w:rsid w:val="00A80205"/>
    <w:rsid w:val="00A81BC3"/>
    <w:rsid w:val="00AB3D79"/>
    <w:rsid w:val="00AD3421"/>
    <w:rsid w:val="00AD363A"/>
    <w:rsid w:val="00AD3B79"/>
    <w:rsid w:val="00AE14C5"/>
    <w:rsid w:val="00B02431"/>
    <w:rsid w:val="00B030E9"/>
    <w:rsid w:val="00B133EB"/>
    <w:rsid w:val="00B17EFE"/>
    <w:rsid w:val="00B27C17"/>
    <w:rsid w:val="00B35323"/>
    <w:rsid w:val="00B42A4A"/>
    <w:rsid w:val="00B4364F"/>
    <w:rsid w:val="00B44136"/>
    <w:rsid w:val="00B45593"/>
    <w:rsid w:val="00B52CE0"/>
    <w:rsid w:val="00B5604B"/>
    <w:rsid w:val="00B6462F"/>
    <w:rsid w:val="00B67E18"/>
    <w:rsid w:val="00B9235C"/>
    <w:rsid w:val="00B92F8E"/>
    <w:rsid w:val="00B9491F"/>
    <w:rsid w:val="00B960E7"/>
    <w:rsid w:val="00B96A9A"/>
    <w:rsid w:val="00BA75E4"/>
    <w:rsid w:val="00BD1745"/>
    <w:rsid w:val="00BE4E42"/>
    <w:rsid w:val="00BF4B3C"/>
    <w:rsid w:val="00C0527F"/>
    <w:rsid w:val="00C156F7"/>
    <w:rsid w:val="00C225D1"/>
    <w:rsid w:val="00C227A4"/>
    <w:rsid w:val="00C266B8"/>
    <w:rsid w:val="00C266EE"/>
    <w:rsid w:val="00C32940"/>
    <w:rsid w:val="00C50939"/>
    <w:rsid w:val="00C660AA"/>
    <w:rsid w:val="00C763DB"/>
    <w:rsid w:val="00C77023"/>
    <w:rsid w:val="00C80E92"/>
    <w:rsid w:val="00C90806"/>
    <w:rsid w:val="00C9206C"/>
    <w:rsid w:val="00CA32CE"/>
    <w:rsid w:val="00CA5CAF"/>
    <w:rsid w:val="00CB230E"/>
    <w:rsid w:val="00CB278E"/>
    <w:rsid w:val="00CB2B56"/>
    <w:rsid w:val="00CC1085"/>
    <w:rsid w:val="00CD0E33"/>
    <w:rsid w:val="00CD222C"/>
    <w:rsid w:val="00CD36EB"/>
    <w:rsid w:val="00CE0017"/>
    <w:rsid w:val="00CE2D21"/>
    <w:rsid w:val="00CE468D"/>
    <w:rsid w:val="00CF51E1"/>
    <w:rsid w:val="00D13A70"/>
    <w:rsid w:val="00D32712"/>
    <w:rsid w:val="00D35C6A"/>
    <w:rsid w:val="00D42421"/>
    <w:rsid w:val="00D53045"/>
    <w:rsid w:val="00D61CD4"/>
    <w:rsid w:val="00D61D25"/>
    <w:rsid w:val="00D61FED"/>
    <w:rsid w:val="00D6210A"/>
    <w:rsid w:val="00D66A0B"/>
    <w:rsid w:val="00D71C8E"/>
    <w:rsid w:val="00D727AB"/>
    <w:rsid w:val="00D910B7"/>
    <w:rsid w:val="00D92DE8"/>
    <w:rsid w:val="00D940B3"/>
    <w:rsid w:val="00DA56DD"/>
    <w:rsid w:val="00DB608F"/>
    <w:rsid w:val="00DC3C7C"/>
    <w:rsid w:val="00DD02EC"/>
    <w:rsid w:val="00DD1ACA"/>
    <w:rsid w:val="00DE4E63"/>
    <w:rsid w:val="00DF4268"/>
    <w:rsid w:val="00DF7D22"/>
    <w:rsid w:val="00E01F2A"/>
    <w:rsid w:val="00E05417"/>
    <w:rsid w:val="00E072D1"/>
    <w:rsid w:val="00E21488"/>
    <w:rsid w:val="00E4634E"/>
    <w:rsid w:val="00E51044"/>
    <w:rsid w:val="00E74D38"/>
    <w:rsid w:val="00E759DA"/>
    <w:rsid w:val="00E956AD"/>
    <w:rsid w:val="00EA7261"/>
    <w:rsid w:val="00EC6B66"/>
    <w:rsid w:val="00ED11CA"/>
    <w:rsid w:val="00ED11FB"/>
    <w:rsid w:val="00ED1281"/>
    <w:rsid w:val="00ED5C7B"/>
    <w:rsid w:val="00EE3A31"/>
    <w:rsid w:val="00EF4D09"/>
    <w:rsid w:val="00F02CFD"/>
    <w:rsid w:val="00F133F5"/>
    <w:rsid w:val="00F13D78"/>
    <w:rsid w:val="00F303B5"/>
    <w:rsid w:val="00F32AB5"/>
    <w:rsid w:val="00F34ABB"/>
    <w:rsid w:val="00F42B37"/>
    <w:rsid w:val="00F43CA6"/>
    <w:rsid w:val="00F5040B"/>
    <w:rsid w:val="00F616AF"/>
    <w:rsid w:val="00F617FF"/>
    <w:rsid w:val="00F61C04"/>
    <w:rsid w:val="00F644C2"/>
    <w:rsid w:val="00F6473B"/>
    <w:rsid w:val="00F73AEB"/>
    <w:rsid w:val="00F74E84"/>
    <w:rsid w:val="00F81ECB"/>
    <w:rsid w:val="00F85829"/>
    <w:rsid w:val="00F968E2"/>
    <w:rsid w:val="00FA1604"/>
    <w:rsid w:val="00FB4F78"/>
    <w:rsid w:val="00FD24D6"/>
    <w:rsid w:val="00FE16EE"/>
    <w:rsid w:val="00FF0E80"/>
    <w:rsid w:val="00FF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32F7-0693-44F7-AAC6-5AE34A1E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Ibrame Metais</vt:lpstr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Ibrame Metais</dc:title>
  <dc:creator>Thereza Marina Cunha M. Cunha</dc:creator>
  <dc:description>Sucata.  Remessa Interestadual: Pagamento Segundo as Normas Gerais de Tributação. Saídas Internas: Diferimento. Responsabilidade do Industrial.  Direito ao Crédito. Substituição Tributária. Protocolo ICMS 44/13. Alteração Ex-Officio da Consulta n.° 162/14</dc:description>
  <cp:lastModifiedBy>Thereza Marina Cunha M. Cunha</cp:lastModifiedBy>
  <cp:revision>4</cp:revision>
  <cp:lastPrinted>2016-07-27T15:10:00Z</cp:lastPrinted>
  <dcterms:created xsi:type="dcterms:W3CDTF">2016-09-02T18:34:00Z</dcterms:created>
  <dcterms:modified xsi:type="dcterms:W3CDTF">2016-09-02T18:39:00Z</dcterms:modified>
  <cp:category>E04-0793391-14</cp:category>
</cp:coreProperties>
</file>