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857923" w:rsidP="00857923">
            <w:pPr>
              <w:pStyle w:val="Ttulo2"/>
              <w:ind w:right="72"/>
              <w:rPr>
                <w:rFonts w:ascii="Times New Roman" w:hAnsi="Times New Roman"/>
                <w:szCs w:val="22"/>
              </w:rPr>
            </w:pPr>
            <w:r>
              <w:rPr>
                <w:rFonts w:ascii="Times New Roman" w:hAnsi="Times New Roman"/>
                <w:szCs w:val="22"/>
              </w:rPr>
              <w:t xml:space="preserve">Pescado e </w:t>
            </w:r>
            <w:r w:rsidRPr="00857923">
              <w:rPr>
                <w:rFonts w:ascii="Times New Roman" w:hAnsi="Times New Roman"/>
                <w:szCs w:val="22"/>
              </w:rPr>
              <w:t>aquícolas</w:t>
            </w:r>
            <w:r>
              <w:rPr>
                <w:rFonts w:ascii="Times New Roman" w:hAnsi="Times New Roman"/>
                <w:szCs w:val="22"/>
              </w:rPr>
              <w:t xml:space="preserve"> </w:t>
            </w:r>
            <w:r w:rsidRPr="00857923">
              <w:rPr>
                <w:rFonts w:ascii="Times New Roman" w:hAnsi="Times New Roman"/>
                <w:szCs w:val="22"/>
              </w:rPr>
              <w:t>processado ou industrializado</w:t>
            </w:r>
            <w:r>
              <w:rPr>
                <w:rFonts w:ascii="Times New Roman" w:hAnsi="Times New Roman"/>
                <w:szCs w:val="22"/>
              </w:rPr>
              <w:t xml:space="preserve">. Redução de Base de </w:t>
            </w:r>
            <w:r w:rsidR="00DB7D99">
              <w:rPr>
                <w:rFonts w:ascii="Times New Roman" w:hAnsi="Times New Roman"/>
                <w:szCs w:val="22"/>
              </w:rPr>
              <w:t>Cálculo. Decreto n.º 43.771/12: Escrituração.</w:t>
            </w:r>
          </w:p>
          <w:p w:rsidR="004031DC" w:rsidRPr="004031DC" w:rsidRDefault="004031DC" w:rsidP="003768EB">
            <w:pPr>
              <w:rPr>
                <w:rFonts w:ascii="Times New Roman" w:hAnsi="Times New Roman" w:cs="Times New Roman"/>
                <w:b/>
                <w:smallCaps/>
                <w:lang w:eastAsia="pt-BR"/>
              </w:rPr>
            </w:pPr>
            <w:r w:rsidRPr="004031DC">
              <w:rPr>
                <w:rFonts w:ascii="Times New Roman" w:hAnsi="Times New Roman" w:cs="Times New Roman"/>
                <w:b/>
                <w:smallCaps/>
                <w:lang w:eastAsia="pt-BR"/>
              </w:rPr>
              <w:t xml:space="preserve">Consulta n.º </w:t>
            </w:r>
            <w:r w:rsidR="003768EB">
              <w:rPr>
                <w:rFonts w:ascii="Times New Roman" w:hAnsi="Times New Roman" w:cs="Times New Roman"/>
                <w:b/>
                <w:smallCaps/>
                <w:lang w:eastAsia="pt-BR"/>
              </w:rPr>
              <w:t>085/2017</w:t>
            </w:r>
          </w:p>
        </w:tc>
      </w:tr>
    </w:tbl>
    <w:p w:rsidR="0003098F" w:rsidRDefault="0003098F" w:rsidP="009826E8">
      <w:pPr>
        <w:pStyle w:val="Ttulo2"/>
        <w:ind w:right="72" w:firstLine="708"/>
        <w:rPr>
          <w:rFonts w:ascii="Times New Roman" w:hAnsi="Times New Roman"/>
        </w:rPr>
      </w:pPr>
    </w:p>
    <w:p w:rsidR="00EF07B0" w:rsidRPr="00EF07B0" w:rsidRDefault="00EF07B0" w:rsidP="00EF07B0">
      <w:pPr>
        <w:rPr>
          <w:rFonts w:ascii="Times New Roman" w:hAnsi="Times New Roman" w:cs="Times New Roman"/>
          <w:lang w:eastAsia="pt-BR"/>
        </w:rPr>
      </w:pPr>
    </w:p>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C3527E" w:rsidRDefault="00D432A0" w:rsidP="00CB7AA1">
      <w:pPr>
        <w:tabs>
          <w:tab w:val="left" w:pos="709"/>
        </w:tabs>
        <w:spacing w:line="360" w:lineRule="auto"/>
        <w:ind w:right="-992" w:firstLine="709"/>
        <w:jc w:val="both"/>
        <w:rPr>
          <w:rFonts w:ascii="Times New Roman" w:hAnsi="Times New Roman" w:cs="Times New Roman"/>
        </w:rPr>
      </w:pPr>
      <w:r>
        <w:rPr>
          <w:rFonts w:ascii="Times New Roman" w:hAnsi="Times New Roman" w:cs="Times New Roman"/>
        </w:rPr>
        <w:t xml:space="preserve">A empresa, tendo </w:t>
      </w:r>
      <w:r w:rsidR="00C3527E">
        <w:rPr>
          <w:rFonts w:ascii="Times New Roman" w:hAnsi="Times New Roman" w:cs="Times New Roman"/>
        </w:rPr>
        <w:t xml:space="preserve">por atividade a fabricação e o comércio atacadista de pescados e frutos do mar, considerando o </w:t>
      </w:r>
      <w:r w:rsidR="00C3527E" w:rsidRPr="007A1CE6">
        <w:rPr>
          <w:rFonts w:ascii="Times New Roman" w:hAnsi="Times New Roman" w:cs="Times New Roman"/>
        </w:rPr>
        <w:t>Tratamento Tributário Especial</w:t>
      </w:r>
      <w:r w:rsidR="00C3527E">
        <w:rPr>
          <w:rFonts w:ascii="Times New Roman" w:hAnsi="Times New Roman" w:cs="Times New Roman"/>
        </w:rPr>
        <w:t xml:space="preserve"> (TTE) concedido pelo </w:t>
      </w:r>
      <w:r>
        <w:rPr>
          <w:rFonts w:ascii="Times New Roman" w:hAnsi="Times New Roman" w:cs="Times New Roman"/>
        </w:rPr>
        <w:t>Decreto n.º</w:t>
      </w:r>
      <w:r w:rsidR="00C3527E">
        <w:rPr>
          <w:rFonts w:ascii="Times New Roman" w:hAnsi="Times New Roman" w:cs="Times New Roman"/>
        </w:rPr>
        <w:t xml:space="preserve"> 43.771/12, </w:t>
      </w:r>
      <w:r>
        <w:rPr>
          <w:rFonts w:ascii="Times New Roman" w:hAnsi="Times New Roman" w:cs="Times New Roman"/>
        </w:rPr>
        <w:t>alter</w:t>
      </w:r>
      <w:r w:rsidR="00C3527E">
        <w:rPr>
          <w:rFonts w:ascii="Times New Roman" w:hAnsi="Times New Roman" w:cs="Times New Roman"/>
        </w:rPr>
        <w:t xml:space="preserve">ado pelo </w:t>
      </w:r>
      <w:r>
        <w:rPr>
          <w:rFonts w:ascii="Times New Roman" w:hAnsi="Times New Roman" w:cs="Times New Roman"/>
        </w:rPr>
        <w:t xml:space="preserve">Decreto n.º </w:t>
      </w:r>
      <w:r w:rsidR="00C3527E">
        <w:rPr>
          <w:rFonts w:ascii="Times New Roman" w:hAnsi="Times New Roman" w:cs="Times New Roman"/>
        </w:rPr>
        <w:t>45.121/15</w:t>
      </w:r>
      <w:r>
        <w:rPr>
          <w:rFonts w:ascii="Times New Roman" w:hAnsi="Times New Roman" w:cs="Times New Roman"/>
        </w:rPr>
        <w:t xml:space="preserve">, </w:t>
      </w:r>
      <w:r w:rsidR="00C3527E">
        <w:rPr>
          <w:rFonts w:ascii="Times New Roman" w:hAnsi="Times New Roman" w:cs="Times New Roman"/>
        </w:rPr>
        <w:t>expõe na inicial o que segue.</w:t>
      </w:r>
    </w:p>
    <w:p w:rsidR="00C3527E" w:rsidRDefault="00C3527E" w:rsidP="00CB7AA1">
      <w:pPr>
        <w:tabs>
          <w:tab w:val="left" w:pos="709"/>
        </w:tabs>
        <w:spacing w:line="360" w:lineRule="auto"/>
        <w:ind w:right="-994" w:firstLine="709"/>
        <w:jc w:val="both"/>
        <w:rPr>
          <w:rFonts w:ascii="Times New Roman" w:hAnsi="Times New Roman" w:cs="Times New Roman"/>
        </w:rPr>
      </w:pPr>
      <w:r>
        <w:rPr>
          <w:rFonts w:ascii="Times New Roman" w:hAnsi="Times New Roman" w:cs="Times New Roman"/>
        </w:rPr>
        <w:t>A empresa não aproveita créditos de ICMS nas notas de entradas</w:t>
      </w:r>
      <w:proofErr w:type="gramStart"/>
      <w:r>
        <w:rPr>
          <w:rFonts w:ascii="Times New Roman" w:hAnsi="Times New Roman" w:cs="Times New Roman"/>
        </w:rPr>
        <w:t xml:space="preserve"> pois</w:t>
      </w:r>
      <w:proofErr w:type="gramEnd"/>
      <w:r>
        <w:rPr>
          <w:rFonts w:ascii="Times New Roman" w:hAnsi="Times New Roman" w:cs="Times New Roman"/>
        </w:rPr>
        <w:t xml:space="preserve"> possui redução de base de cálculo do ICMS de 100%, conforme o  citado decreto.</w:t>
      </w:r>
    </w:p>
    <w:p w:rsidR="00C3527E" w:rsidRDefault="00345F4F" w:rsidP="00CB7AA1">
      <w:pPr>
        <w:tabs>
          <w:tab w:val="left" w:pos="709"/>
        </w:tabs>
        <w:spacing w:line="360" w:lineRule="auto"/>
        <w:ind w:right="-994" w:firstLine="709"/>
        <w:jc w:val="both"/>
        <w:rPr>
          <w:rFonts w:ascii="Times New Roman" w:hAnsi="Times New Roman" w:cs="Times New Roman"/>
          <w:b/>
          <w:smallCaps/>
        </w:rPr>
      </w:pPr>
      <w:proofErr w:type="gramStart"/>
      <w:r>
        <w:rPr>
          <w:rFonts w:ascii="Times New Roman" w:hAnsi="Times New Roman" w:cs="Times New Roman"/>
          <w:b/>
          <w:smallCaps/>
        </w:rPr>
        <w:t>Isto posto</w:t>
      </w:r>
      <w:proofErr w:type="gramEnd"/>
      <w:r>
        <w:rPr>
          <w:rFonts w:ascii="Times New Roman" w:hAnsi="Times New Roman" w:cs="Times New Roman"/>
          <w:b/>
          <w:smallCaps/>
        </w:rPr>
        <w:t xml:space="preserve">, </w:t>
      </w:r>
      <w:r w:rsidR="00C3527E" w:rsidRPr="00C3527E">
        <w:rPr>
          <w:rFonts w:ascii="Times New Roman" w:hAnsi="Times New Roman" w:cs="Times New Roman"/>
          <w:b/>
          <w:smallCaps/>
        </w:rPr>
        <w:t>Consulta:</w:t>
      </w:r>
    </w:p>
    <w:p w:rsidR="00345F4F" w:rsidRDefault="00345F4F" w:rsidP="00CB7AA1">
      <w:pPr>
        <w:tabs>
          <w:tab w:val="left" w:pos="709"/>
        </w:tabs>
        <w:spacing w:line="360" w:lineRule="auto"/>
        <w:ind w:right="-994" w:firstLine="709"/>
        <w:jc w:val="both"/>
        <w:rPr>
          <w:rFonts w:ascii="Times New Roman" w:hAnsi="Times New Roman" w:cs="Times New Roman"/>
        </w:rPr>
      </w:pPr>
      <w:r>
        <w:rPr>
          <w:rFonts w:ascii="Times New Roman" w:hAnsi="Times New Roman" w:cs="Times New Roman"/>
        </w:rPr>
        <w:t>Qual o lançamento correto a fazer nas notas de entrada, conforme descrições abaixo:</w:t>
      </w:r>
    </w:p>
    <w:p w:rsidR="00C3527E" w:rsidRDefault="00345F4F" w:rsidP="00CB7AA1">
      <w:pPr>
        <w:tabs>
          <w:tab w:val="left" w:pos="709"/>
        </w:tabs>
        <w:spacing w:line="360" w:lineRule="auto"/>
        <w:ind w:right="-994" w:firstLine="709"/>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Lançar as notas de compra, sem aproveitamento de crédito de ICMS, escriturando valor contábil e coluna Isentas/Outras?</w:t>
      </w:r>
    </w:p>
    <w:p w:rsidR="00345F4F" w:rsidRDefault="00345F4F" w:rsidP="00CB7AA1">
      <w:pPr>
        <w:tabs>
          <w:tab w:val="left" w:pos="709"/>
        </w:tabs>
        <w:spacing w:line="360" w:lineRule="auto"/>
        <w:ind w:right="-994" w:firstLine="709"/>
        <w:jc w:val="both"/>
        <w:rPr>
          <w:rFonts w:ascii="Times New Roman" w:hAnsi="Times New Roman" w:cs="Times New Roman"/>
        </w:rPr>
      </w:pPr>
      <w:proofErr w:type="gramStart"/>
      <w:r>
        <w:rPr>
          <w:rFonts w:ascii="Times New Roman" w:hAnsi="Times New Roman" w:cs="Times New Roman"/>
        </w:rPr>
        <w:t>2</w:t>
      </w:r>
      <w:proofErr w:type="gramEnd"/>
      <w:r>
        <w:rPr>
          <w:rFonts w:ascii="Times New Roman" w:hAnsi="Times New Roman" w:cs="Times New Roman"/>
        </w:rPr>
        <w:t>) Lançar as notas com o crédito do ICMS e fazer o estorno no livro de apuração do ICMS proporcionalmente a essas entradas no campo “Estorno de Créditos”?</w:t>
      </w:r>
    </w:p>
    <w:p w:rsidR="00EF07B0" w:rsidRPr="00EF07B0" w:rsidRDefault="00EF07B0" w:rsidP="00CB7AA1">
      <w:pPr>
        <w:spacing w:after="0" w:line="360" w:lineRule="auto"/>
        <w:ind w:right="-994" w:firstLine="709"/>
        <w:jc w:val="both"/>
        <w:rPr>
          <w:rFonts w:ascii="Times New Roman" w:hAnsi="Times New Roman" w:cs="Times New Roman"/>
        </w:rPr>
      </w:pPr>
      <w:r w:rsidRPr="00EF07B0">
        <w:rPr>
          <w:rFonts w:ascii="Times New Roman" w:hAnsi="Times New Roman" w:cs="Times New Roman"/>
        </w:rPr>
        <w:t>O processo encontra-se instruído com o comprovante de pagamento da TSE (fls. 0</w:t>
      </w:r>
      <w:r w:rsidR="00451E5E">
        <w:rPr>
          <w:rFonts w:ascii="Times New Roman" w:hAnsi="Times New Roman" w:cs="Times New Roman"/>
        </w:rPr>
        <w:t>5</w:t>
      </w:r>
      <w:r w:rsidRPr="00EF07B0">
        <w:rPr>
          <w:rFonts w:ascii="Times New Roman" w:hAnsi="Times New Roman" w:cs="Times New Roman"/>
        </w:rPr>
        <w:t>/0</w:t>
      </w:r>
      <w:r w:rsidR="00451E5E">
        <w:rPr>
          <w:rFonts w:ascii="Times New Roman" w:hAnsi="Times New Roman" w:cs="Times New Roman"/>
        </w:rPr>
        <w:t>7</w:t>
      </w:r>
      <w:r w:rsidRPr="00EF07B0">
        <w:rPr>
          <w:rFonts w:ascii="Times New Roman" w:hAnsi="Times New Roman" w:cs="Times New Roman"/>
        </w:rPr>
        <w:t xml:space="preserve">), a habilitação do signatário da inicial para postular em nome da consulente (fls. </w:t>
      </w:r>
      <w:r w:rsidR="0074739C">
        <w:rPr>
          <w:rFonts w:ascii="Times New Roman" w:hAnsi="Times New Roman" w:cs="Times New Roman"/>
        </w:rPr>
        <w:t>0</w:t>
      </w:r>
      <w:r w:rsidR="00451E5E">
        <w:rPr>
          <w:rFonts w:ascii="Times New Roman" w:hAnsi="Times New Roman" w:cs="Times New Roman"/>
        </w:rPr>
        <w:t>8</w:t>
      </w:r>
      <w:r w:rsidRPr="00EF07B0">
        <w:rPr>
          <w:rFonts w:ascii="Times New Roman" w:hAnsi="Times New Roman" w:cs="Times New Roman"/>
        </w:rPr>
        <w:t xml:space="preserve">), bem como as </w:t>
      </w:r>
      <w:r w:rsidR="0074739C">
        <w:rPr>
          <w:rFonts w:ascii="Times New Roman" w:hAnsi="Times New Roman" w:cs="Times New Roman"/>
        </w:rPr>
        <w:t>i</w:t>
      </w:r>
      <w:r w:rsidRPr="00EF07B0">
        <w:rPr>
          <w:rFonts w:ascii="Times New Roman" w:hAnsi="Times New Roman" w:cs="Times New Roman"/>
        </w:rPr>
        <w:t xml:space="preserve">nformações relativas aos incisos I e II do artigo 3º da Resolução SEF n.° 109/76 (fls. </w:t>
      </w:r>
      <w:r w:rsidR="00451E5E">
        <w:rPr>
          <w:rFonts w:ascii="Times New Roman" w:hAnsi="Times New Roman" w:cs="Times New Roman"/>
        </w:rPr>
        <w:t>16</w:t>
      </w:r>
      <w:r w:rsidRPr="00EF07B0">
        <w:rPr>
          <w:rFonts w:ascii="Times New Roman" w:hAnsi="Times New Roman" w:cs="Times New Roman"/>
        </w:rPr>
        <w:t>).</w:t>
      </w:r>
    </w:p>
    <w:p w:rsidR="00C3527E" w:rsidRDefault="00C3527E" w:rsidP="00CB7AA1">
      <w:pPr>
        <w:spacing w:line="360" w:lineRule="auto"/>
        <w:ind w:right="-994" w:firstLine="709"/>
        <w:rPr>
          <w:rFonts w:ascii="Times New Roman" w:hAnsi="Times New Roman" w:cs="Times New Roman"/>
          <w:b/>
          <w:smallCaps/>
          <w:lang w:eastAsia="pt-BR"/>
        </w:rPr>
      </w:pPr>
    </w:p>
    <w:p w:rsidR="00EF07B0" w:rsidRDefault="00EF07B0" w:rsidP="00CB7AA1">
      <w:pPr>
        <w:spacing w:line="360" w:lineRule="auto"/>
        <w:ind w:right="-994" w:firstLine="709"/>
        <w:rPr>
          <w:rFonts w:ascii="Times New Roman" w:hAnsi="Times New Roman" w:cs="Times New Roman"/>
          <w:b/>
          <w:smallCaps/>
        </w:rPr>
      </w:pPr>
      <w:r w:rsidRPr="0074739C">
        <w:rPr>
          <w:rFonts w:ascii="Times New Roman" w:hAnsi="Times New Roman" w:cs="Times New Roman"/>
          <w:b/>
          <w:smallCaps/>
          <w:lang w:eastAsia="pt-BR"/>
        </w:rPr>
        <w:t xml:space="preserve"> </w:t>
      </w:r>
      <w:r w:rsidRPr="0074739C">
        <w:rPr>
          <w:rFonts w:ascii="Times New Roman" w:hAnsi="Times New Roman" w:cs="Times New Roman"/>
          <w:b/>
          <w:smallCaps/>
        </w:rPr>
        <w:t>II – A</w:t>
      </w:r>
      <w:r w:rsidR="0074739C" w:rsidRPr="0074739C">
        <w:rPr>
          <w:rFonts w:ascii="Times New Roman" w:hAnsi="Times New Roman" w:cs="Times New Roman"/>
          <w:b/>
          <w:smallCaps/>
        </w:rPr>
        <w:t>nálise</w:t>
      </w:r>
      <w:r w:rsidRPr="0074739C">
        <w:rPr>
          <w:rFonts w:ascii="Times New Roman" w:hAnsi="Times New Roman" w:cs="Times New Roman"/>
          <w:b/>
          <w:smallCaps/>
        </w:rPr>
        <w:t xml:space="preserve"> </w:t>
      </w:r>
      <w:r w:rsidR="0074739C" w:rsidRPr="0074739C">
        <w:rPr>
          <w:rFonts w:ascii="Times New Roman" w:hAnsi="Times New Roman" w:cs="Times New Roman"/>
          <w:b/>
          <w:smallCaps/>
        </w:rPr>
        <w:t>e</w:t>
      </w:r>
      <w:r w:rsidRPr="0074739C">
        <w:rPr>
          <w:rFonts w:ascii="Times New Roman" w:hAnsi="Times New Roman" w:cs="Times New Roman"/>
          <w:b/>
          <w:smallCaps/>
        </w:rPr>
        <w:t xml:space="preserve"> F</w:t>
      </w:r>
      <w:r w:rsidR="0074739C" w:rsidRPr="0074739C">
        <w:rPr>
          <w:rFonts w:ascii="Times New Roman" w:hAnsi="Times New Roman" w:cs="Times New Roman"/>
          <w:b/>
          <w:smallCaps/>
        </w:rPr>
        <w:t>undamentação.</w:t>
      </w:r>
    </w:p>
    <w:p w:rsidR="00E86DC6" w:rsidRDefault="009B147D" w:rsidP="00CB7AA1">
      <w:pPr>
        <w:spacing w:line="360" w:lineRule="auto"/>
        <w:ind w:right="-994" w:firstLine="709"/>
        <w:jc w:val="both"/>
        <w:rPr>
          <w:rFonts w:ascii="Times New Roman" w:hAnsi="Times New Roman" w:cs="Times New Roman"/>
        </w:rPr>
      </w:pPr>
      <w:r w:rsidRPr="009B147D">
        <w:rPr>
          <w:rFonts w:ascii="Times New Roman" w:hAnsi="Times New Roman" w:cs="Times New Roman"/>
        </w:rPr>
        <w:t xml:space="preserve">As normas gerais para a escrituração do livro Registro de Entradas estão estabelecidas no </w:t>
      </w:r>
      <w:r>
        <w:rPr>
          <w:rFonts w:ascii="Times New Roman" w:hAnsi="Times New Roman" w:cs="Times New Roman"/>
        </w:rPr>
        <w:t xml:space="preserve">§ 4º, artigo 1º, Anexo I, do Livro </w:t>
      </w:r>
      <w:proofErr w:type="gramStart"/>
      <w:r>
        <w:rPr>
          <w:rFonts w:ascii="Times New Roman" w:hAnsi="Times New Roman" w:cs="Times New Roman"/>
        </w:rPr>
        <w:t>VI</w:t>
      </w:r>
      <w:proofErr w:type="gramEnd"/>
      <w:r>
        <w:rPr>
          <w:rFonts w:ascii="Times New Roman" w:hAnsi="Times New Roman" w:cs="Times New Roman"/>
        </w:rPr>
        <w:t xml:space="preserve"> do Regulamento do ICMS, aprovado pelo Decreto n.º 27.424/00.</w:t>
      </w:r>
      <w:r w:rsidR="00E86DC6">
        <w:rPr>
          <w:rFonts w:ascii="Times New Roman" w:hAnsi="Times New Roman" w:cs="Times New Roman"/>
        </w:rPr>
        <w:t xml:space="preserve">  </w:t>
      </w:r>
    </w:p>
    <w:p w:rsidR="009B147D" w:rsidRDefault="009B147D" w:rsidP="00CB7AA1">
      <w:pPr>
        <w:spacing w:line="360" w:lineRule="auto"/>
        <w:ind w:right="-994" w:firstLine="709"/>
        <w:jc w:val="both"/>
        <w:rPr>
          <w:rFonts w:ascii="Times New Roman" w:hAnsi="Times New Roman" w:cs="Times New Roman"/>
        </w:rPr>
      </w:pPr>
      <w:r>
        <w:rPr>
          <w:rFonts w:ascii="Times New Roman" w:hAnsi="Times New Roman" w:cs="Times New Roman"/>
        </w:rPr>
        <w:t xml:space="preserve">Nas entradas de mercadorias em que o contribuinte não tem direito ao crédito do ICMS na coluna </w:t>
      </w:r>
      <w:r w:rsidRPr="009B147D">
        <w:rPr>
          <w:rFonts w:ascii="Times New Roman" w:hAnsi="Times New Roman" w:cs="Times New Roman"/>
        </w:rPr>
        <w:t xml:space="preserve">VII </w:t>
      </w:r>
      <w:r w:rsidR="00E86DC6">
        <w:rPr>
          <w:rFonts w:ascii="Times New Roman" w:hAnsi="Times New Roman" w:cs="Times New Roman"/>
        </w:rPr>
        <w:t>“</w:t>
      </w:r>
      <w:r w:rsidRPr="009B147D">
        <w:rPr>
          <w:rFonts w:ascii="Times New Roman" w:hAnsi="Times New Roman" w:cs="Times New Roman"/>
        </w:rPr>
        <w:t>ICMS - Valores Fiscais e Operações ou Prestações sem Crédito do Imposto”</w:t>
      </w:r>
      <w:r w:rsidR="00E86DC6">
        <w:rPr>
          <w:rFonts w:ascii="Times New Roman" w:hAnsi="Times New Roman" w:cs="Times New Roman"/>
        </w:rPr>
        <w:t xml:space="preserve"> os lançamentos serão conforme abaixo transcrito:</w:t>
      </w:r>
    </w:p>
    <w:p w:rsidR="00E86DC6" w:rsidRDefault="00E86DC6" w:rsidP="00CB7AA1">
      <w:pPr>
        <w:spacing w:line="360" w:lineRule="auto"/>
        <w:ind w:right="-992" w:firstLine="709"/>
        <w:jc w:val="both"/>
        <w:rPr>
          <w:rFonts w:ascii="Times New Roman" w:hAnsi="Times New Roman" w:cs="Times New Roman"/>
          <w:i/>
        </w:rPr>
      </w:pPr>
      <w:r>
        <w:rPr>
          <w:rFonts w:ascii="Times New Roman" w:hAnsi="Times New Roman" w:cs="Times New Roman"/>
        </w:rPr>
        <w:lastRenderedPageBreak/>
        <w:t>“</w:t>
      </w:r>
      <w:proofErr w:type="gramStart"/>
      <w:r w:rsidRPr="00E86DC6">
        <w:rPr>
          <w:rFonts w:ascii="Times New Roman" w:hAnsi="Times New Roman" w:cs="Times New Roman"/>
          <w:i/>
        </w:rPr>
        <w:t>a)</w:t>
      </w:r>
      <w:proofErr w:type="gramEnd"/>
      <w:r w:rsidRPr="00E86DC6">
        <w:rPr>
          <w:rFonts w:ascii="Times New Roman" w:hAnsi="Times New Roman" w:cs="Times New Roman"/>
          <w:i/>
        </w:rPr>
        <w:t xml:space="preserve"> coluna "Isenta ou não Tributada": valor da operação ou prestação, deduzida a parcela do IPI, se consignada no documento fiscal, quando se tratar de entrada de mercadoria ou serviço tomado cuja saída ou prestação do estabelecimento remetente ou prestador tenha sido beneficiada com isenção ou estiver ampara da por não-incidência, </w:t>
      </w:r>
      <w:r w:rsidRPr="00E70552">
        <w:rPr>
          <w:rFonts w:ascii="Times New Roman" w:hAnsi="Times New Roman" w:cs="Times New Roman"/>
          <w:b/>
          <w:i/>
        </w:rPr>
        <w:t>bem como, ocorrendo a hipótese, o valor da parcela correspondente à redução da base de cálculo</w:t>
      </w:r>
      <w:r w:rsidRPr="00E86DC6">
        <w:rPr>
          <w:rFonts w:ascii="Times New Roman" w:hAnsi="Times New Roman" w:cs="Times New Roman"/>
          <w:i/>
        </w:rPr>
        <w:t>;</w:t>
      </w:r>
      <w:r>
        <w:rPr>
          <w:rFonts w:ascii="Times New Roman" w:hAnsi="Times New Roman" w:cs="Times New Roman"/>
          <w:i/>
        </w:rPr>
        <w:t>”.</w:t>
      </w:r>
    </w:p>
    <w:p w:rsidR="00E62E4D" w:rsidRDefault="00C67FCC" w:rsidP="00CB7AA1">
      <w:pPr>
        <w:spacing w:line="360" w:lineRule="auto"/>
        <w:ind w:right="-992" w:firstLine="709"/>
        <w:jc w:val="both"/>
        <w:rPr>
          <w:rFonts w:ascii="Times New Roman" w:hAnsi="Times New Roman" w:cs="Times New Roman"/>
          <w:i/>
        </w:rPr>
      </w:pPr>
      <w:r>
        <w:rPr>
          <w:rFonts w:ascii="Times New Roman" w:hAnsi="Times New Roman" w:cs="Times New Roman"/>
        </w:rPr>
        <w:t xml:space="preserve">De acordo com o </w:t>
      </w:r>
      <w:r w:rsidR="00E62E4D" w:rsidRPr="00E62E4D">
        <w:rPr>
          <w:rFonts w:ascii="Times New Roman" w:hAnsi="Times New Roman" w:cs="Times New Roman"/>
        </w:rPr>
        <w:t xml:space="preserve">artigo 1º do Decreto n.º </w:t>
      </w:r>
      <w:r w:rsidR="00E62E4D">
        <w:rPr>
          <w:rFonts w:ascii="Times New Roman" w:hAnsi="Times New Roman" w:cs="Times New Roman"/>
        </w:rPr>
        <w:t xml:space="preserve">43.771/12, alterado pelo Decreto n.º 45.121/15, </w:t>
      </w:r>
      <w:r w:rsidR="002B7DFE">
        <w:rPr>
          <w:rFonts w:ascii="Times New Roman" w:hAnsi="Times New Roman" w:cs="Times New Roman"/>
        </w:rPr>
        <w:t xml:space="preserve">observada a </w:t>
      </w:r>
      <w:r w:rsidR="002B7DFE" w:rsidRPr="00C04DED">
        <w:rPr>
          <w:rFonts w:ascii="Times New Roman" w:hAnsi="Times New Roman" w:cs="Times New Roman"/>
        </w:rPr>
        <w:t>alínea "a" do inciso XXVII d</w:t>
      </w:r>
      <w:r w:rsidR="002B7DFE">
        <w:rPr>
          <w:rFonts w:ascii="Times New Roman" w:hAnsi="Times New Roman" w:cs="Times New Roman"/>
        </w:rPr>
        <w:t xml:space="preserve">o artigo 3º do Decreto n.º 45.607/16, </w:t>
      </w:r>
      <w:r>
        <w:rPr>
          <w:rFonts w:ascii="Times New Roman" w:hAnsi="Times New Roman" w:cs="Times New Roman"/>
        </w:rPr>
        <w:t xml:space="preserve">temos </w:t>
      </w:r>
      <w:r w:rsidR="00E62E4D">
        <w:rPr>
          <w:rFonts w:ascii="Times New Roman" w:hAnsi="Times New Roman" w:cs="Times New Roman"/>
        </w:rPr>
        <w:t>que:</w:t>
      </w:r>
    </w:p>
    <w:p w:rsidR="00E62E4D" w:rsidRPr="00E62E4D" w:rsidRDefault="00C67FCC" w:rsidP="00CB7AA1">
      <w:pPr>
        <w:spacing w:line="360" w:lineRule="auto"/>
        <w:ind w:right="-992" w:firstLine="709"/>
        <w:jc w:val="both"/>
        <w:rPr>
          <w:rFonts w:ascii="Times New Roman" w:hAnsi="Times New Roman" w:cs="Times New Roman"/>
          <w:i/>
        </w:rPr>
      </w:pPr>
      <w:proofErr w:type="gramStart"/>
      <w:r>
        <w:rPr>
          <w:rFonts w:ascii="Times New Roman" w:hAnsi="Times New Roman" w:cs="Times New Roman"/>
          <w:i/>
        </w:rPr>
        <w:t>“</w:t>
      </w:r>
      <w:r w:rsidR="00E62E4D" w:rsidRPr="00E62E4D">
        <w:rPr>
          <w:rFonts w:ascii="Times New Roman" w:hAnsi="Times New Roman" w:cs="Times New Roman"/>
          <w:i/>
        </w:rPr>
        <w:t>Art. 1º - O estabelecimento industrial, localizado no Estado do Rio de Janeiro, que realizar operações de saída com pescado, inclusive outros aquícolas, processado ou industrializado neste estabelecimento fluminense, poderá, nas saídas internas, reduzir a base de</w:t>
      </w:r>
      <w:r w:rsidR="00E62E4D">
        <w:rPr>
          <w:rFonts w:ascii="Times New Roman" w:hAnsi="Times New Roman" w:cs="Times New Roman"/>
          <w:i/>
        </w:rPr>
        <w:t xml:space="preserve"> cálculo em 100% (cem por cento</w:t>
      </w:r>
      <w:r>
        <w:rPr>
          <w:rFonts w:ascii="Times New Roman" w:hAnsi="Times New Roman" w:cs="Times New Roman"/>
          <w:i/>
        </w:rPr>
        <w:t>)</w:t>
      </w:r>
      <w:r w:rsidR="00E62E4D">
        <w:rPr>
          <w:rFonts w:ascii="Times New Roman" w:hAnsi="Times New Roman" w:cs="Times New Roman"/>
          <w:i/>
        </w:rPr>
        <w:t xml:space="preserve"> </w:t>
      </w:r>
      <w:r w:rsidR="00E62E4D" w:rsidRPr="00E62E4D">
        <w:rPr>
          <w:rFonts w:ascii="Times New Roman" w:hAnsi="Times New Roman" w:cs="Times New Roman"/>
          <w:i/>
        </w:rPr>
        <w:t>e, nas saídas interestaduais, lançar um crédito presumido de ICMS de forma que a incidência do imposto nestas operações resulte em:</w:t>
      </w:r>
    </w:p>
    <w:p w:rsidR="00E62E4D" w:rsidRPr="00E62E4D" w:rsidRDefault="00E62E4D" w:rsidP="00CB7AA1">
      <w:pPr>
        <w:spacing w:line="360" w:lineRule="auto"/>
        <w:ind w:right="-992" w:firstLine="709"/>
        <w:jc w:val="both"/>
        <w:rPr>
          <w:rFonts w:ascii="Times New Roman" w:hAnsi="Times New Roman" w:cs="Times New Roman"/>
          <w:i/>
        </w:rPr>
      </w:pPr>
      <w:proofErr w:type="gramEnd"/>
      <w:r w:rsidRPr="00E62E4D">
        <w:rPr>
          <w:rFonts w:ascii="Times New Roman" w:hAnsi="Times New Roman" w:cs="Times New Roman"/>
          <w:i/>
        </w:rPr>
        <w:t xml:space="preserve">I - </w:t>
      </w:r>
      <w:r w:rsidR="000F09FC">
        <w:rPr>
          <w:rFonts w:ascii="Times New Roman" w:hAnsi="Times New Roman" w:cs="Times New Roman"/>
          <w:i/>
        </w:rPr>
        <w:t>3</w:t>
      </w:r>
      <w:r w:rsidRPr="00E62E4D">
        <w:rPr>
          <w:rFonts w:ascii="Times New Roman" w:hAnsi="Times New Roman" w:cs="Times New Roman"/>
          <w:i/>
        </w:rPr>
        <w:t>,5% (</w:t>
      </w:r>
      <w:r w:rsidR="000F09FC">
        <w:rPr>
          <w:rFonts w:ascii="Times New Roman" w:hAnsi="Times New Roman" w:cs="Times New Roman"/>
          <w:i/>
        </w:rPr>
        <w:t xml:space="preserve">três </w:t>
      </w:r>
      <w:r w:rsidRPr="00E62E4D">
        <w:rPr>
          <w:rFonts w:ascii="Times New Roman" w:hAnsi="Times New Roman" w:cs="Times New Roman"/>
          <w:i/>
        </w:rPr>
        <w:t>e meio por cento) nos 60 (sessenta) primeiros meses contados a partir do mês seguinte à publicação deste Decreto;</w:t>
      </w:r>
    </w:p>
    <w:p w:rsidR="00E62E4D" w:rsidRPr="00E62E4D" w:rsidRDefault="00E62E4D" w:rsidP="00CB7AA1">
      <w:pPr>
        <w:spacing w:line="360" w:lineRule="auto"/>
        <w:ind w:right="-992" w:firstLine="709"/>
        <w:jc w:val="both"/>
        <w:rPr>
          <w:rFonts w:ascii="Times New Roman" w:hAnsi="Times New Roman" w:cs="Times New Roman"/>
        </w:rPr>
      </w:pPr>
      <w:r w:rsidRPr="00E62E4D">
        <w:rPr>
          <w:rFonts w:ascii="Times New Roman" w:hAnsi="Times New Roman" w:cs="Times New Roman"/>
          <w:i/>
        </w:rPr>
        <w:t xml:space="preserve">II - </w:t>
      </w:r>
      <w:r w:rsidR="000F09FC">
        <w:rPr>
          <w:rFonts w:ascii="Times New Roman" w:hAnsi="Times New Roman" w:cs="Times New Roman"/>
          <w:i/>
        </w:rPr>
        <w:t>4</w:t>
      </w:r>
      <w:r w:rsidRPr="00E62E4D">
        <w:rPr>
          <w:rFonts w:ascii="Times New Roman" w:hAnsi="Times New Roman" w:cs="Times New Roman"/>
          <w:i/>
        </w:rPr>
        <w:t>,0</w:t>
      </w:r>
      <w:proofErr w:type="gramStart"/>
      <w:r w:rsidRPr="00E62E4D">
        <w:rPr>
          <w:rFonts w:ascii="Times New Roman" w:hAnsi="Times New Roman" w:cs="Times New Roman"/>
          <w:i/>
        </w:rPr>
        <w:t>% (</w:t>
      </w:r>
      <w:r w:rsidR="000F09FC">
        <w:rPr>
          <w:rFonts w:ascii="Times New Roman" w:hAnsi="Times New Roman" w:cs="Times New Roman"/>
          <w:i/>
        </w:rPr>
        <w:t xml:space="preserve">quatro </w:t>
      </w:r>
      <w:r w:rsidRPr="00E62E4D">
        <w:rPr>
          <w:rFonts w:ascii="Times New Roman" w:hAnsi="Times New Roman" w:cs="Times New Roman"/>
          <w:i/>
        </w:rPr>
        <w:t>por cento) nos meses seguintes ao período estabelecido no inciso I do caput deste artigo</w:t>
      </w:r>
      <w:r>
        <w:rPr>
          <w:rFonts w:ascii="Times New Roman" w:hAnsi="Times New Roman" w:cs="Times New Roman"/>
          <w:i/>
        </w:rPr>
        <w:t>”</w:t>
      </w:r>
      <w:proofErr w:type="gramEnd"/>
      <w:r w:rsidRPr="00E62E4D">
        <w:rPr>
          <w:rFonts w:ascii="Times New Roman" w:hAnsi="Times New Roman" w:cs="Times New Roman"/>
          <w:i/>
        </w:rPr>
        <w:t>.</w:t>
      </w:r>
    </w:p>
    <w:p w:rsidR="00EF07B0" w:rsidRDefault="00EF07B0" w:rsidP="00CB7AA1">
      <w:pPr>
        <w:spacing w:line="360" w:lineRule="auto"/>
        <w:ind w:right="-992" w:firstLine="709"/>
        <w:jc w:val="both"/>
        <w:rPr>
          <w:rFonts w:ascii="Times New Roman" w:hAnsi="Times New Roman" w:cs="Times New Roman"/>
          <w:b/>
          <w:smallCaps/>
        </w:rPr>
      </w:pPr>
      <w:r w:rsidRPr="00EF07B0">
        <w:rPr>
          <w:rFonts w:ascii="Times New Roman" w:hAnsi="Times New Roman" w:cs="Times New Roman"/>
          <w:b/>
          <w:smallCaps/>
        </w:rPr>
        <w:t>III – Resposta:</w:t>
      </w:r>
    </w:p>
    <w:p w:rsidR="00C3527E" w:rsidRDefault="000D2096" w:rsidP="00CB7AA1">
      <w:pPr>
        <w:spacing w:line="360" w:lineRule="auto"/>
        <w:ind w:right="-992" w:firstLine="709"/>
        <w:jc w:val="both"/>
        <w:rPr>
          <w:rFonts w:ascii="Times New Roman" w:hAnsi="Times New Roman" w:cs="Times New Roman"/>
        </w:rPr>
      </w:pPr>
      <w:r>
        <w:rPr>
          <w:rFonts w:ascii="Times New Roman" w:hAnsi="Times New Roman" w:cs="Times New Roman"/>
        </w:rPr>
        <w:t>Com base no dispositivo regulamenta</w:t>
      </w:r>
      <w:r w:rsidR="001F1595">
        <w:rPr>
          <w:rFonts w:ascii="Times New Roman" w:hAnsi="Times New Roman" w:cs="Times New Roman"/>
        </w:rPr>
        <w:t>r acima transcrito</w:t>
      </w:r>
      <w:r>
        <w:rPr>
          <w:rFonts w:ascii="Times New Roman" w:hAnsi="Times New Roman" w:cs="Times New Roman"/>
        </w:rPr>
        <w:t>, c</w:t>
      </w:r>
      <w:r w:rsidR="00C3527E">
        <w:rPr>
          <w:rFonts w:ascii="Times New Roman" w:hAnsi="Times New Roman" w:cs="Times New Roman"/>
        </w:rPr>
        <w:t xml:space="preserve">onsiderando que o </w:t>
      </w:r>
      <w:r w:rsidR="00C3527E" w:rsidRPr="007A1CE6">
        <w:rPr>
          <w:rFonts w:ascii="Times New Roman" w:hAnsi="Times New Roman" w:cs="Times New Roman"/>
        </w:rPr>
        <w:t>Tratamento Tributário Especial</w:t>
      </w:r>
      <w:r w:rsidR="00C3527E">
        <w:rPr>
          <w:rFonts w:ascii="Times New Roman" w:hAnsi="Times New Roman" w:cs="Times New Roman"/>
        </w:rPr>
        <w:t xml:space="preserve"> previsto</w:t>
      </w:r>
      <w:r>
        <w:rPr>
          <w:rFonts w:ascii="Times New Roman" w:hAnsi="Times New Roman" w:cs="Times New Roman"/>
        </w:rPr>
        <w:t xml:space="preserve"> no Decreto n.º 43.771/</w:t>
      </w:r>
      <w:r w:rsidR="00C3527E">
        <w:rPr>
          <w:rFonts w:ascii="Times New Roman" w:hAnsi="Times New Roman" w:cs="Times New Roman"/>
        </w:rPr>
        <w:t xml:space="preserve"> </w:t>
      </w:r>
      <w:r>
        <w:rPr>
          <w:rFonts w:ascii="Times New Roman" w:hAnsi="Times New Roman" w:cs="Times New Roman"/>
        </w:rPr>
        <w:t>12</w:t>
      </w:r>
      <w:r w:rsidR="00C67FCC">
        <w:rPr>
          <w:rFonts w:ascii="Times New Roman" w:hAnsi="Times New Roman" w:cs="Times New Roman"/>
        </w:rPr>
        <w:t xml:space="preserve"> (</w:t>
      </w:r>
      <w:r>
        <w:rPr>
          <w:rFonts w:ascii="Times New Roman" w:hAnsi="Times New Roman" w:cs="Times New Roman"/>
        </w:rPr>
        <w:t xml:space="preserve">artigo </w:t>
      </w:r>
      <w:r w:rsidR="00E62E4D">
        <w:rPr>
          <w:rFonts w:ascii="Times New Roman" w:hAnsi="Times New Roman" w:cs="Times New Roman"/>
        </w:rPr>
        <w:t>2</w:t>
      </w:r>
      <w:r>
        <w:rPr>
          <w:rFonts w:ascii="Times New Roman" w:hAnsi="Times New Roman" w:cs="Times New Roman"/>
        </w:rPr>
        <w:t>º</w:t>
      </w:r>
      <w:r w:rsidR="00C67FCC">
        <w:rPr>
          <w:rFonts w:ascii="Times New Roman" w:hAnsi="Times New Roman" w:cs="Times New Roman"/>
        </w:rPr>
        <w:t xml:space="preserve">) </w:t>
      </w:r>
      <w:r w:rsidR="00C3527E" w:rsidRPr="007A1CE6">
        <w:rPr>
          <w:rFonts w:ascii="Times New Roman" w:hAnsi="Times New Roman" w:cs="Times New Roman"/>
        </w:rPr>
        <w:t>implicará necessariamente no estorno dos créditos de operações anteriores</w:t>
      </w:r>
      <w:r w:rsidR="004432AB">
        <w:rPr>
          <w:rFonts w:ascii="Times New Roman" w:hAnsi="Times New Roman" w:cs="Times New Roman"/>
        </w:rPr>
        <w:t xml:space="preserve">, </w:t>
      </w:r>
      <w:r w:rsidR="00E70552">
        <w:rPr>
          <w:rFonts w:ascii="Times New Roman" w:hAnsi="Times New Roman" w:cs="Times New Roman"/>
        </w:rPr>
        <w:t>o valor total do ICMS destacado n</w:t>
      </w:r>
      <w:r w:rsidR="00E62E4D">
        <w:rPr>
          <w:rFonts w:ascii="Times New Roman" w:hAnsi="Times New Roman" w:cs="Times New Roman"/>
        </w:rPr>
        <w:t>as Notas Fiscais de aquisição deve</w:t>
      </w:r>
      <w:r w:rsidR="00CB7AA1">
        <w:rPr>
          <w:rFonts w:ascii="Times New Roman" w:hAnsi="Times New Roman" w:cs="Times New Roman"/>
        </w:rPr>
        <w:t xml:space="preserve"> s</w:t>
      </w:r>
      <w:r w:rsidR="00E62E4D">
        <w:rPr>
          <w:rFonts w:ascii="Times New Roman" w:hAnsi="Times New Roman" w:cs="Times New Roman"/>
        </w:rPr>
        <w:t>er lançad</w:t>
      </w:r>
      <w:r w:rsidR="00CB7AA1">
        <w:rPr>
          <w:rFonts w:ascii="Times New Roman" w:hAnsi="Times New Roman" w:cs="Times New Roman"/>
        </w:rPr>
        <w:t xml:space="preserve">o </w:t>
      </w:r>
      <w:r w:rsidR="00E62E4D">
        <w:rPr>
          <w:rFonts w:ascii="Times New Roman" w:hAnsi="Times New Roman" w:cs="Times New Roman"/>
        </w:rPr>
        <w:t xml:space="preserve">no livro Registro de Entradas na </w:t>
      </w:r>
      <w:r w:rsidR="00E62E4D" w:rsidRPr="00E70552">
        <w:rPr>
          <w:rFonts w:ascii="Times New Roman" w:hAnsi="Times New Roman" w:cs="Times New Roman"/>
        </w:rPr>
        <w:t>coluna “</w:t>
      </w:r>
      <w:r w:rsidR="00E70552" w:rsidRPr="00E70552">
        <w:rPr>
          <w:rFonts w:ascii="Times New Roman" w:hAnsi="Times New Roman" w:cs="Times New Roman"/>
        </w:rPr>
        <w:t>Isenta ou não Tributad</w:t>
      </w:r>
      <w:r w:rsidR="00E70552">
        <w:rPr>
          <w:rFonts w:ascii="Times New Roman" w:hAnsi="Times New Roman" w:cs="Times New Roman"/>
        </w:rPr>
        <w:t>a</w:t>
      </w:r>
      <w:r w:rsidR="00E70552" w:rsidRPr="00E70552">
        <w:rPr>
          <w:rFonts w:ascii="Times New Roman" w:hAnsi="Times New Roman" w:cs="Times New Roman"/>
        </w:rPr>
        <w:t>” sob o título “ICMS - Valores Fiscais e Operações ou Prestações sem Crédito do Imposto</w:t>
      </w:r>
      <w:r w:rsidR="00E70552">
        <w:rPr>
          <w:rFonts w:ascii="Times New Roman" w:hAnsi="Times New Roman" w:cs="Times New Roman"/>
        </w:rPr>
        <w:t>”.</w:t>
      </w:r>
    </w:p>
    <w:p w:rsidR="00E70552" w:rsidRDefault="00E70552" w:rsidP="00CB7AA1">
      <w:pPr>
        <w:spacing w:line="360" w:lineRule="auto"/>
        <w:ind w:right="-992" w:firstLine="709"/>
        <w:jc w:val="both"/>
        <w:rPr>
          <w:rFonts w:ascii="Times New Roman" w:hAnsi="Times New Roman" w:cs="Times New Roman"/>
        </w:rPr>
      </w:pPr>
      <w:r>
        <w:rPr>
          <w:rFonts w:ascii="Times New Roman" w:hAnsi="Times New Roman" w:cs="Times New Roman"/>
        </w:rPr>
        <w:t>O crédito pre</w:t>
      </w:r>
      <w:r w:rsidR="00F71795">
        <w:rPr>
          <w:rFonts w:ascii="Times New Roman" w:hAnsi="Times New Roman" w:cs="Times New Roman"/>
        </w:rPr>
        <w:t>s</w:t>
      </w:r>
      <w:r>
        <w:rPr>
          <w:rFonts w:ascii="Times New Roman" w:hAnsi="Times New Roman" w:cs="Times New Roman"/>
        </w:rPr>
        <w:t xml:space="preserve">umido previsto no caput e incisos I e II do artigo 1º do decreto em </w:t>
      </w:r>
      <w:r w:rsidR="005232AB">
        <w:rPr>
          <w:rFonts w:ascii="Times New Roman" w:hAnsi="Times New Roman" w:cs="Times New Roman"/>
        </w:rPr>
        <w:t xml:space="preserve">questão </w:t>
      </w:r>
      <w:r w:rsidR="00F71795">
        <w:rPr>
          <w:rFonts w:ascii="Times New Roman" w:hAnsi="Times New Roman" w:cs="Times New Roman"/>
        </w:rPr>
        <w:t>deve ser lançado em “O</w:t>
      </w:r>
      <w:r w:rsidR="005232AB">
        <w:rPr>
          <w:rFonts w:ascii="Times New Roman" w:hAnsi="Times New Roman" w:cs="Times New Roman"/>
        </w:rPr>
        <w:t>utros C</w:t>
      </w:r>
      <w:r w:rsidR="00F71795" w:rsidRPr="00F71795">
        <w:rPr>
          <w:rFonts w:ascii="Times New Roman" w:hAnsi="Times New Roman" w:cs="Times New Roman"/>
        </w:rPr>
        <w:t xml:space="preserve">réditos" do livro Registro de Apuração do ICMS (RAICMS), </w:t>
      </w:r>
      <w:r w:rsidR="00F71795">
        <w:rPr>
          <w:rFonts w:ascii="Times New Roman" w:hAnsi="Times New Roman" w:cs="Times New Roman"/>
        </w:rPr>
        <w:t>com a informação do seu fundamento legal.</w:t>
      </w:r>
    </w:p>
    <w:p w:rsidR="00F71795" w:rsidRDefault="005232AB" w:rsidP="00CB7AA1">
      <w:pPr>
        <w:spacing w:line="360" w:lineRule="auto"/>
        <w:ind w:right="-992" w:firstLine="709"/>
        <w:jc w:val="both"/>
        <w:rPr>
          <w:rFonts w:ascii="Times New Roman" w:hAnsi="Times New Roman" w:cs="Times New Roman"/>
        </w:rPr>
      </w:pPr>
      <w:r>
        <w:rPr>
          <w:rFonts w:ascii="Times New Roman" w:hAnsi="Times New Roman" w:cs="Times New Roman"/>
        </w:rPr>
        <w:lastRenderedPageBreak/>
        <w:t xml:space="preserve">Por estar obrigada </w:t>
      </w:r>
      <w:r w:rsidR="002A6D74">
        <w:rPr>
          <w:rFonts w:ascii="Times New Roman" w:hAnsi="Times New Roman" w:cs="Times New Roman"/>
        </w:rPr>
        <w:t xml:space="preserve">à </w:t>
      </w:r>
      <w:r w:rsidR="006A2FE2" w:rsidRPr="006A2FE2">
        <w:rPr>
          <w:rFonts w:ascii="Times New Roman" w:hAnsi="Times New Roman" w:cs="Times New Roman"/>
        </w:rPr>
        <w:t>Escrituração Fiscal Digital (EFD ICMS/IPI)</w:t>
      </w:r>
      <w:r w:rsidR="006A2FE2">
        <w:rPr>
          <w:rFonts w:ascii="Times New Roman" w:hAnsi="Times New Roman" w:cs="Times New Roman"/>
        </w:rPr>
        <w:t xml:space="preserve">, </w:t>
      </w:r>
      <w:r>
        <w:rPr>
          <w:rFonts w:ascii="Times New Roman" w:hAnsi="Times New Roman" w:cs="Times New Roman"/>
        </w:rPr>
        <w:t xml:space="preserve">fundamentada nas diretrizes indicadas acima, </w:t>
      </w:r>
      <w:r w:rsidR="006A2FE2">
        <w:rPr>
          <w:rFonts w:ascii="Times New Roman" w:hAnsi="Times New Roman" w:cs="Times New Roman"/>
        </w:rPr>
        <w:t>a consulente deve observar suas normas pr</w:t>
      </w:r>
      <w:r>
        <w:rPr>
          <w:rFonts w:ascii="Times New Roman" w:hAnsi="Times New Roman" w:cs="Times New Roman"/>
        </w:rPr>
        <w:t xml:space="preserve">óprias em conformidade com o </w:t>
      </w:r>
      <w:r w:rsidRPr="005232AB">
        <w:rPr>
          <w:rFonts w:ascii="Times New Roman" w:hAnsi="Times New Roman" w:cs="Times New Roman"/>
        </w:rPr>
        <w:t>Guia Prático da EFD</w:t>
      </w:r>
      <w:r>
        <w:rPr>
          <w:rFonts w:ascii="Times New Roman" w:hAnsi="Times New Roman" w:cs="Times New Roman"/>
        </w:rPr>
        <w:t>.</w:t>
      </w:r>
    </w:p>
    <w:p w:rsidR="00C04DED" w:rsidRDefault="00C04DED" w:rsidP="00CB7AA1">
      <w:pPr>
        <w:spacing w:line="360" w:lineRule="auto"/>
        <w:ind w:right="-992" w:firstLine="709"/>
        <w:jc w:val="both"/>
        <w:rPr>
          <w:rFonts w:ascii="Times New Roman" w:hAnsi="Times New Roman" w:cs="Times New Roman"/>
        </w:rPr>
      </w:pPr>
      <w:r>
        <w:rPr>
          <w:rFonts w:ascii="Times New Roman" w:hAnsi="Times New Roman" w:cs="Times New Roman"/>
        </w:rPr>
        <w:t>Lembramos que p</w:t>
      </w:r>
      <w:r w:rsidRPr="00C04DED">
        <w:rPr>
          <w:rFonts w:ascii="Times New Roman" w:hAnsi="Times New Roman" w:cs="Times New Roman"/>
        </w:rPr>
        <w:t xml:space="preserve">ara utilizar o </w:t>
      </w:r>
      <w:r w:rsidR="00FC5797" w:rsidRPr="00C04DED">
        <w:rPr>
          <w:rFonts w:ascii="Times New Roman" w:hAnsi="Times New Roman" w:cs="Times New Roman"/>
        </w:rPr>
        <w:t>Tratamento Tributário Especial</w:t>
      </w:r>
      <w:r w:rsidRPr="00C04DED">
        <w:rPr>
          <w:rFonts w:ascii="Times New Roman" w:hAnsi="Times New Roman" w:cs="Times New Roman"/>
        </w:rPr>
        <w:t xml:space="preserve"> </w:t>
      </w:r>
      <w:r w:rsidR="00C27503">
        <w:rPr>
          <w:rFonts w:ascii="Times New Roman" w:hAnsi="Times New Roman" w:cs="Times New Roman"/>
        </w:rPr>
        <w:t xml:space="preserve">concedido pelo decreto </w:t>
      </w:r>
      <w:r w:rsidR="00FC5797">
        <w:rPr>
          <w:rFonts w:ascii="Times New Roman" w:hAnsi="Times New Roman" w:cs="Times New Roman"/>
        </w:rPr>
        <w:t>referenciado</w:t>
      </w:r>
      <w:r w:rsidRPr="00C04DED">
        <w:rPr>
          <w:rFonts w:ascii="Times New Roman" w:hAnsi="Times New Roman" w:cs="Times New Roman"/>
        </w:rPr>
        <w:t xml:space="preserve">, </w:t>
      </w:r>
      <w:r>
        <w:rPr>
          <w:rFonts w:ascii="Times New Roman" w:hAnsi="Times New Roman" w:cs="Times New Roman"/>
        </w:rPr>
        <w:t xml:space="preserve">a consulente </w:t>
      </w:r>
      <w:r w:rsidRPr="00C04DED">
        <w:rPr>
          <w:rFonts w:ascii="Times New Roman" w:hAnsi="Times New Roman" w:cs="Times New Roman"/>
        </w:rPr>
        <w:t>deve</w:t>
      </w:r>
      <w:r>
        <w:rPr>
          <w:rFonts w:ascii="Times New Roman" w:hAnsi="Times New Roman" w:cs="Times New Roman"/>
        </w:rPr>
        <w:t xml:space="preserve"> ter </w:t>
      </w:r>
      <w:r w:rsidRPr="00C04DED">
        <w:rPr>
          <w:rFonts w:ascii="Times New Roman" w:hAnsi="Times New Roman" w:cs="Times New Roman"/>
        </w:rPr>
        <w:t xml:space="preserve">Termo de Acordo </w:t>
      </w:r>
      <w:r>
        <w:rPr>
          <w:rFonts w:ascii="Times New Roman" w:hAnsi="Times New Roman" w:cs="Times New Roman"/>
        </w:rPr>
        <w:t xml:space="preserve">firmado </w:t>
      </w:r>
      <w:r w:rsidRPr="00C04DED">
        <w:rPr>
          <w:rFonts w:ascii="Times New Roman" w:hAnsi="Times New Roman" w:cs="Times New Roman"/>
        </w:rPr>
        <w:t>com a Secretaria de Estado de Fazenda e com a Secretaria de Estado de Desenvolvimento Econômico</w:t>
      </w:r>
      <w:r>
        <w:rPr>
          <w:rFonts w:ascii="Times New Roman" w:hAnsi="Times New Roman" w:cs="Times New Roman"/>
        </w:rPr>
        <w:t xml:space="preserve">, Energia, Indústria e Serviços, conforme determina o </w:t>
      </w:r>
      <w:r w:rsidR="00C27503">
        <w:rPr>
          <w:rFonts w:ascii="Times New Roman" w:hAnsi="Times New Roman" w:cs="Times New Roman"/>
        </w:rPr>
        <w:t xml:space="preserve">seu artigo </w:t>
      </w:r>
      <w:r>
        <w:rPr>
          <w:rFonts w:ascii="Times New Roman" w:hAnsi="Times New Roman" w:cs="Times New Roman"/>
        </w:rPr>
        <w:t>5º.</w:t>
      </w:r>
    </w:p>
    <w:p w:rsidR="0077465F" w:rsidRPr="0077465F" w:rsidRDefault="0077465F" w:rsidP="00CB7AA1">
      <w:pPr>
        <w:spacing w:line="360" w:lineRule="auto"/>
        <w:ind w:right="-992" w:firstLine="709"/>
        <w:jc w:val="both"/>
        <w:rPr>
          <w:rFonts w:ascii="Times New Roman" w:hAnsi="Times New Roman" w:cs="Times New Roman"/>
        </w:rPr>
      </w:pPr>
      <w:r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Pr="0077465F">
        <w:rPr>
          <w:rFonts w:ascii="Times New Roman" w:hAnsi="Times New Roman" w:cs="Times New Roman"/>
        </w:rPr>
        <w:t xml:space="preserve"> ou seja</w:t>
      </w:r>
      <w:proofErr w:type="gramEnd"/>
      <w:r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5232AB">
        <w:rPr>
          <w:rFonts w:ascii="Times New Roman" w:hAnsi="Times New Roman" w:cs="Times New Roman"/>
        </w:rPr>
        <w:t xml:space="preserve"> 05 </w:t>
      </w:r>
      <w:r w:rsidR="001858F7" w:rsidRPr="00EF07B0">
        <w:rPr>
          <w:rFonts w:ascii="Times New Roman" w:hAnsi="Times New Roman" w:cs="Times New Roman"/>
        </w:rPr>
        <w:t>de</w:t>
      </w:r>
      <w:r w:rsidR="005232AB">
        <w:rPr>
          <w:rFonts w:ascii="Times New Roman" w:hAnsi="Times New Roman" w:cs="Times New Roman"/>
        </w:rPr>
        <w:t xml:space="preserve"> julho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1503A7">
        <w:rPr>
          <w:rFonts w:ascii="Times New Roman" w:hAnsi="Times New Roman" w:cs="Times New Roman"/>
        </w:rPr>
        <w:t>7</w:t>
      </w:r>
      <w:r w:rsidR="003B6D06" w:rsidRPr="00EF07B0">
        <w:rPr>
          <w:rFonts w:ascii="Times New Roman" w:hAnsi="Times New Roman" w:cs="Times New Roman"/>
        </w:rPr>
        <w:t>.</w:t>
      </w:r>
    </w:p>
    <w:sectPr w:rsidR="001858F7" w:rsidRPr="00EF07B0" w:rsidSect="0006159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92" w:rsidRDefault="000615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92" w:rsidRDefault="0006159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92" w:rsidRDefault="000615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92" w:rsidRDefault="000615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34E3BCBD" wp14:editId="1FCC7282">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48713B">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965311">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sidR="00965311">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BE6D4C">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BE6D4C">
                  <w:rPr>
                    <w:rFonts w:ascii="Times New Roman" w:hAnsi="Times New Roman"/>
                    <w:sz w:val="20"/>
                  </w:rPr>
                  <w:t>79</w:t>
                </w:r>
                <w:r w:rsidRPr="002E7B20">
                  <w:rPr>
                    <w:rFonts w:ascii="Times New Roman" w:hAnsi="Times New Roman"/>
                    <w:sz w:val="20"/>
                  </w:rPr>
                  <w:t>/</w:t>
                </w:r>
                <w:r w:rsidR="00BE6D4C">
                  <w:rPr>
                    <w:rFonts w:ascii="Times New Roman" w:hAnsi="Times New Roman"/>
                    <w:sz w:val="20"/>
                  </w:rPr>
                  <w:t>1529</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w:t>
                </w:r>
                <w:r w:rsidR="00BE6D4C">
                  <w:rPr>
                    <w:rFonts w:ascii="Times New Roman" w:hAnsi="Times New Roman"/>
                    <w:sz w:val="20"/>
                  </w:rPr>
                  <w:t>17</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BE6D4C">
                <w:pPr>
                  <w:spacing w:after="0"/>
                  <w:rPr>
                    <w:rFonts w:ascii="Times New Roman" w:hAnsi="Times New Roman"/>
                    <w:sz w:val="20"/>
                  </w:rPr>
                </w:pPr>
                <w:r w:rsidRPr="002E7B20">
                  <w:rPr>
                    <w:rFonts w:ascii="Times New Roman" w:hAnsi="Times New Roman"/>
                    <w:sz w:val="20"/>
                  </w:rPr>
                  <w:t xml:space="preserve">Data: </w:t>
                </w:r>
                <w:r w:rsidR="00BE6D4C">
                  <w:rPr>
                    <w:rFonts w:ascii="Times New Roman" w:hAnsi="Times New Roman"/>
                    <w:sz w:val="20"/>
                  </w:rPr>
                  <w:t>18</w:t>
                </w:r>
                <w:r>
                  <w:rPr>
                    <w:rFonts w:ascii="Times New Roman" w:hAnsi="Times New Roman"/>
                    <w:sz w:val="20"/>
                  </w:rPr>
                  <w:t>/</w:t>
                </w:r>
                <w:r w:rsidR="008630FF">
                  <w:rPr>
                    <w:rFonts w:ascii="Times New Roman" w:hAnsi="Times New Roman"/>
                    <w:sz w:val="20"/>
                  </w:rPr>
                  <w:t>0</w:t>
                </w:r>
                <w:r w:rsidR="00BE6D4C">
                  <w:rPr>
                    <w:rFonts w:ascii="Times New Roman" w:hAnsi="Times New Roman"/>
                    <w:sz w:val="20"/>
                  </w:rPr>
                  <w:t>4</w:t>
                </w:r>
                <w:r>
                  <w:rPr>
                    <w:rFonts w:ascii="Times New Roman" w:hAnsi="Times New Roman"/>
                    <w:sz w:val="20"/>
                  </w:rPr>
                  <w:t>/</w:t>
                </w:r>
                <w:r w:rsidR="00BE6D4C">
                  <w:rPr>
                    <w:rFonts w:ascii="Times New Roman" w:hAnsi="Times New Roman"/>
                    <w:sz w:val="20"/>
                  </w:rPr>
                  <w:t>17</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3D04E0" w:rsidRPr="00462AC3">
                  <w:rPr>
                    <w:rFonts w:ascii="Times New Roman" w:hAnsi="Times New Roman"/>
                    <w:sz w:val="20"/>
                  </w:rPr>
                  <w:fldChar w:fldCharType="begin"/>
                </w:r>
                <w:r w:rsidRPr="00462AC3">
                  <w:rPr>
                    <w:rFonts w:ascii="Times New Roman" w:hAnsi="Times New Roman"/>
                    <w:sz w:val="20"/>
                  </w:rPr>
                  <w:instrText>PAGE   \* MERGEFORMAT</w:instrText>
                </w:r>
                <w:r w:rsidR="003D04E0" w:rsidRPr="00462AC3">
                  <w:rPr>
                    <w:rFonts w:ascii="Times New Roman" w:hAnsi="Times New Roman"/>
                    <w:sz w:val="20"/>
                  </w:rPr>
                  <w:fldChar w:fldCharType="separate"/>
                </w:r>
                <w:r w:rsidR="00061592">
                  <w:rPr>
                    <w:rFonts w:ascii="Times New Roman" w:hAnsi="Times New Roman"/>
                    <w:noProof/>
                    <w:sz w:val="20"/>
                  </w:rPr>
                  <w:t>18</w:t>
                </w:r>
                <w:r w:rsidR="003D04E0" w:rsidRPr="00462AC3">
                  <w:rPr>
                    <w:rFonts w:ascii="Times New Roman" w:hAnsi="Times New Roman"/>
                    <w:sz w:val="20"/>
                  </w:rPr>
                  <w:fldChar w:fldCharType="end"/>
                </w:r>
              </w:p>
            </w:tc>
          </w:tr>
          <w:tr w:rsidR="00555312" w:rsidRPr="002E7B20" w:rsidTr="00061592">
            <w:trPr>
              <w:cantSplit/>
              <w:trHeight w:val="273"/>
            </w:trPr>
            <w:tc>
              <w:tcPr>
                <w:tcW w:w="2812" w:type="dxa"/>
                <w:tcBorders>
                  <w:top w:val="nil"/>
                  <w:left w:val="single" w:sz="18" w:space="0" w:color="auto"/>
                  <w:bottom w:val="single" w:sz="18" w:space="0" w:color="auto"/>
                  <w:right w:val="single" w:sz="18" w:space="0" w:color="auto"/>
                </w:tcBorders>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92" w:rsidRDefault="000615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A80"/>
    <w:rsid w:val="0002389A"/>
    <w:rsid w:val="00024105"/>
    <w:rsid w:val="0003098F"/>
    <w:rsid w:val="0003303D"/>
    <w:rsid w:val="000377D8"/>
    <w:rsid w:val="000503D1"/>
    <w:rsid w:val="00061592"/>
    <w:rsid w:val="00074B43"/>
    <w:rsid w:val="0008336D"/>
    <w:rsid w:val="00084D3B"/>
    <w:rsid w:val="00086369"/>
    <w:rsid w:val="00095B0A"/>
    <w:rsid w:val="000C2877"/>
    <w:rsid w:val="000D0439"/>
    <w:rsid w:val="000D2096"/>
    <w:rsid w:val="000D6F55"/>
    <w:rsid w:val="000E6D09"/>
    <w:rsid w:val="000F09FC"/>
    <w:rsid w:val="000F30B1"/>
    <w:rsid w:val="000F63EE"/>
    <w:rsid w:val="00100B3B"/>
    <w:rsid w:val="00111C59"/>
    <w:rsid w:val="001126BB"/>
    <w:rsid w:val="00120539"/>
    <w:rsid w:val="001214F5"/>
    <w:rsid w:val="00121FC1"/>
    <w:rsid w:val="001233D6"/>
    <w:rsid w:val="001376CF"/>
    <w:rsid w:val="0014427E"/>
    <w:rsid w:val="0014555C"/>
    <w:rsid w:val="001503A7"/>
    <w:rsid w:val="00157300"/>
    <w:rsid w:val="00163A2D"/>
    <w:rsid w:val="00166FDB"/>
    <w:rsid w:val="001760E5"/>
    <w:rsid w:val="001819B0"/>
    <w:rsid w:val="001831C9"/>
    <w:rsid w:val="001858F7"/>
    <w:rsid w:val="001C7B3E"/>
    <w:rsid w:val="001D4967"/>
    <w:rsid w:val="001E13FA"/>
    <w:rsid w:val="001E4F56"/>
    <w:rsid w:val="001F1595"/>
    <w:rsid w:val="001F309B"/>
    <w:rsid w:val="001F3F43"/>
    <w:rsid w:val="001F7132"/>
    <w:rsid w:val="00205092"/>
    <w:rsid w:val="00207272"/>
    <w:rsid w:val="00210225"/>
    <w:rsid w:val="00211A66"/>
    <w:rsid w:val="002124DC"/>
    <w:rsid w:val="00235276"/>
    <w:rsid w:val="002436D8"/>
    <w:rsid w:val="002457B4"/>
    <w:rsid w:val="00247144"/>
    <w:rsid w:val="00251988"/>
    <w:rsid w:val="00253080"/>
    <w:rsid w:val="00265632"/>
    <w:rsid w:val="002712D7"/>
    <w:rsid w:val="00272BF0"/>
    <w:rsid w:val="002830AD"/>
    <w:rsid w:val="0028490E"/>
    <w:rsid w:val="00286428"/>
    <w:rsid w:val="002907A7"/>
    <w:rsid w:val="0029309F"/>
    <w:rsid w:val="00296DAB"/>
    <w:rsid w:val="002A3BD8"/>
    <w:rsid w:val="002A6D74"/>
    <w:rsid w:val="002B25A7"/>
    <w:rsid w:val="002B7DFE"/>
    <w:rsid w:val="002E38C5"/>
    <w:rsid w:val="002F5AAC"/>
    <w:rsid w:val="00300997"/>
    <w:rsid w:val="003269EC"/>
    <w:rsid w:val="00332FDF"/>
    <w:rsid w:val="003453A9"/>
    <w:rsid w:val="00345F4F"/>
    <w:rsid w:val="0035322A"/>
    <w:rsid w:val="003549CF"/>
    <w:rsid w:val="00355B36"/>
    <w:rsid w:val="00360C1E"/>
    <w:rsid w:val="00363495"/>
    <w:rsid w:val="00363D83"/>
    <w:rsid w:val="0036656D"/>
    <w:rsid w:val="00370985"/>
    <w:rsid w:val="003768EB"/>
    <w:rsid w:val="003A4E9A"/>
    <w:rsid w:val="003B454E"/>
    <w:rsid w:val="003B6D06"/>
    <w:rsid w:val="003C3FF2"/>
    <w:rsid w:val="003D04E0"/>
    <w:rsid w:val="003D55C0"/>
    <w:rsid w:val="003D672A"/>
    <w:rsid w:val="003D695C"/>
    <w:rsid w:val="003E2C18"/>
    <w:rsid w:val="003E5502"/>
    <w:rsid w:val="003E5ED9"/>
    <w:rsid w:val="004031DC"/>
    <w:rsid w:val="00411549"/>
    <w:rsid w:val="004168C5"/>
    <w:rsid w:val="004174DA"/>
    <w:rsid w:val="00421C93"/>
    <w:rsid w:val="00423EF2"/>
    <w:rsid w:val="004241D0"/>
    <w:rsid w:val="004432AB"/>
    <w:rsid w:val="00451E5E"/>
    <w:rsid w:val="00455FAC"/>
    <w:rsid w:val="00462AC3"/>
    <w:rsid w:val="004729F7"/>
    <w:rsid w:val="00473E16"/>
    <w:rsid w:val="00476799"/>
    <w:rsid w:val="00480304"/>
    <w:rsid w:val="00481E33"/>
    <w:rsid w:val="00481F61"/>
    <w:rsid w:val="004825A8"/>
    <w:rsid w:val="00482C57"/>
    <w:rsid w:val="00483017"/>
    <w:rsid w:val="0048713B"/>
    <w:rsid w:val="00493457"/>
    <w:rsid w:val="00493AE4"/>
    <w:rsid w:val="0049706F"/>
    <w:rsid w:val="004978EC"/>
    <w:rsid w:val="004A02C8"/>
    <w:rsid w:val="004B21F3"/>
    <w:rsid w:val="004B6E4E"/>
    <w:rsid w:val="004C1EB5"/>
    <w:rsid w:val="004D13CC"/>
    <w:rsid w:val="004D3BD9"/>
    <w:rsid w:val="004D5BAE"/>
    <w:rsid w:val="004E2759"/>
    <w:rsid w:val="00507503"/>
    <w:rsid w:val="005220FC"/>
    <w:rsid w:val="005232AB"/>
    <w:rsid w:val="005333BB"/>
    <w:rsid w:val="00540E46"/>
    <w:rsid w:val="00542EA5"/>
    <w:rsid w:val="00546EC0"/>
    <w:rsid w:val="00555312"/>
    <w:rsid w:val="005578E8"/>
    <w:rsid w:val="005707CA"/>
    <w:rsid w:val="00584587"/>
    <w:rsid w:val="005853FD"/>
    <w:rsid w:val="005860DD"/>
    <w:rsid w:val="00586A11"/>
    <w:rsid w:val="005A37D1"/>
    <w:rsid w:val="005A6F87"/>
    <w:rsid w:val="005B395F"/>
    <w:rsid w:val="005C5FC9"/>
    <w:rsid w:val="005D2324"/>
    <w:rsid w:val="005D577F"/>
    <w:rsid w:val="005E14DA"/>
    <w:rsid w:val="005E7A38"/>
    <w:rsid w:val="005E7C65"/>
    <w:rsid w:val="005F26B5"/>
    <w:rsid w:val="005F289B"/>
    <w:rsid w:val="005F47B6"/>
    <w:rsid w:val="005F55C3"/>
    <w:rsid w:val="00602B62"/>
    <w:rsid w:val="00610064"/>
    <w:rsid w:val="006134FF"/>
    <w:rsid w:val="00622BB0"/>
    <w:rsid w:val="00636F62"/>
    <w:rsid w:val="0065393E"/>
    <w:rsid w:val="00654C1A"/>
    <w:rsid w:val="006637B6"/>
    <w:rsid w:val="0066751B"/>
    <w:rsid w:val="00675382"/>
    <w:rsid w:val="006A2586"/>
    <w:rsid w:val="006A270F"/>
    <w:rsid w:val="006A2E9F"/>
    <w:rsid w:val="006A2FE2"/>
    <w:rsid w:val="006E73A4"/>
    <w:rsid w:val="006F06F0"/>
    <w:rsid w:val="006F475A"/>
    <w:rsid w:val="006F743F"/>
    <w:rsid w:val="006F7509"/>
    <w:rsid w:val="0071097A"/>
    <w:rsid w:val="0074027D"/>
    <w:rsid w:val="0074739C"/>
    <w:rsid w:val="00747E59"/>
    <w:rsid w:val="0075364B"/>
    <w:rsid w:val="007637EC"/>
    <w:rsid w:val="00773AC1"/>
    <w:rsid w:val="0077465F"/>
    <w:rsid w:val="00784FE7"/>
    <w:rsid w:val="007A3336"/>
    <w:rsid w:val="007D2A1D"/>
    <w:rsid w:val="007E33A3"/>
    <w:rsid w:val="00800B00"/>
    <w:rsid w:val="00801B35"/>
    <w:rsid w:val="00803F80"/>
    <w:rsid w:val="00805A34"/>
    <w:rsid w:val="00810178"/>
    <w:rsid w:val="00820383"/>
    <w:rsid w:val="00825D6E"/>
    <w:rsid w:val="00832990"/>
    <w:rsid w:val="00840313"/>
    <w:rsid w:val="00841C19"/>
    <w:rsid w:val="00844E38"/>
    <w:rsid w:val="0085047E"/>
    <w:rsid w:val="00857923"/>
    <w:rsid w:val="008630FF"/>
    <w:rsid w:val="0089032B"/>
    <w:rsid w:val="00891A63"/>
    <w:rsid w:val="0089409A"/>
    <w:rsid w:val="008962DF"/>
    <w:rsid w:val="008A4FFF"/>
    <w:rsid w:val="008A6974"/>
    <w:rsid w:val="008B1870"/>
    <w:rsid w:val="008B2817"/>
    <w:rsid w:val="008B55D2"/>
    <w:rsid w:val="008B5BBE"/>
    <w:rsid w:val="008C0608"/>
    <w:rsid w:val="008D4306"/>
    <w:rsid w:val="008F3D1E"/>
    <w:rsid w:val="008F716D"/>
    <w:rsid w:val="0090150B"/>
    <w:rsid w:val="00926A17"/>
    <w:rsid w:val="0093290E"/>
    <w:rsid w:val="00934E4E"/>
    <w:rsid w:val="00951E1D"/>
    <w:rsid w:val="00961ABE"/>
    <w:rsid w:val="00965311"/>
    <w:rsid w:val="0097135A"/>
    <w:rsid w:val="009826E8"/>
    <w:rsid w:val="00986F8A"/>
    <w:rsid w:val="00987CE9"/>
    <w:rsid w:val="00994540"/>
    <w:rsid w:val="00995773"/>
    <w:rsid w:val="009A3A11"/>
    <w:rsid w:val="009A4E8D"/>
    <w:rsid w:val="009A65B7"/>
    <w:rsid w:val="009B147D"/>
    <w:rsid w:val="009B4AD7"/>
    <w:rsid w:val="009C2B3E"/>
    <w:rsid w:val="009C3177"/>
    <w:rsid w:val="009C4BB0"/>
    <w:rsid w:val="009C52C7"/>
    <w:rsid w:val="009C58A0"/>
    <w:rsid w:val="009D0CF6"/>
    <w:rsid w:val="009D1501"/>
    <w:rsid w:val="009E0ABC"/>
    <w:rsid w:val="009E2E6B"/>
    <w:rsid w:val="009E5A48"/>
    <w:rsid w:val="009F6AAA"/>
    <w:rsid w:val="009F7DF5"/>
    <w:rsid w:val="00A054C6"/>
    <w:rsid w:val="00A11B88"/>
    <w:rsid w:val="00A16E0D"/>
    <w:rsid w:val="00A27902"/>
    <w:rsid w:val="00A30CE6"/>
    <w:rsid w:val="00A364D8"/>
    <w:rsid w:val="00A73790"/>
    <w:rsid w:val="00A73B7E"/>
    <w:rsid w:val="00A75A0C"/>
    <w:rsid w:val="00A84A23"/>
    <w:rsid w:val="00AA1E19"/>
    <w:rsid w:val="00AA4AD0"/>
    <w:rsid w:val="00AB6054"/>
    <w:rsid w:val="00AC7301"/>
    <w:rsid w:val="00AD3421"/>
    <w:rsid w:val="00AD363A"/>
    <w:rsid w:val="00AD3B79"/>
    <w:rsid w:val="00AE5690"/>
    <w:rsid w:val="00AF0B00"/>
    <w:rsid w:val="00B01C13"/>
    <w:rsid w:val="00B023E9"/>
    <w:rsid w:val="00B03715"/>
    <w:rsid w:val="00B05D9A"/>
    <w:rsid w:val="00B17EFE"/>
    <w:rsid w:val="00B23B53"/>
    <w:rsid w:val="00B27C17"/>
    <w:rsid w:val="00B3136F"/>
    <w:rsid w:val="00B41067"/>
    <w:rsid w:val="00B4298B"/>
    <w:rsid w:val="00B4364F"/>
    <w:rsid w:val="00B44136"/>
    <w:rsid w:val="00B45593"/>
    <w:rsid w:val="00B5604B"/>
    <w:rsid w:val="00B6462F"/>
    <w:rsid w:val="00B82677"/>
    <w:rsid w:val="00B9235C"/>
    <w:rsid w:val="00B942B5"/>
    <w:rsid w:val="00B9491F"/>
    <w:rsid w:val="00B95528"/>
    <w:rsid w:val="00B960E7"/>
    <w:rsid w:val="00B96A9A"/>
    <w:rsid w:val="00BA75E4"/>
    <w:rsid w:val="00BC111B"/>
    <w:rsid w:val="00BE4E42"/>
    <w:rsid w:val="00BE5C37"/>
    <w:rsid w:val="00BE6852"/>
    <w:rsid w:val="00BE6D4C"/>
    <w:rsid w:val="00BF4B3C"/>
    <w:rsid w:val="00C03835"/>
    <w:rsid w:val="00C04DED"/>
    <w:rsid w:val="00C0527F"/>
    <w:rsid w:val="00C156F7"/>
    <w:rsid w:val="00C225D1"/>
    <w:rsid w:val="00C227A4"/>
    <w:rsid w:val="00C227FC"/>
    <w:rsid w:val="00C266EE"/>
    <w:rsid w:val="00C27503"/>
    <w:rsid w:val="00C3527E"/>
    <w:rsid w:val="00C45EA9"/>
    <w:rsid w:val="00C463D2"/>
    <w:rsid w:val="00C50939"/>
    <w:rsid w:val="00C57FBD"/>
    <w:rsid w:val="00C660AA"/>
    <w:rsid w:val="00C67FCC"/>
    <w:rsid w:val="00C82292"/>
    <w:rsid w:val="00C839F6"/>
    <w:rsid w:val="00C90806"/>
    <w:rsid w:val="00CA4970"/>
    <w:rsid w:val="00CA5CAF"/>
    <w:rsid w:val="00CB1133"/>
    <w:rsid w:val="00CB230E"/>
    <w:rsid w:val="00CB7AA1"/>
    <w:rsid w:val="00CD093C"/>
    <w:rsid w:val="00CD222C"/>
    <w:rsid w:val="00CD3A4C"/>
    <w:rsid w:val="00CE0017"/>
    <w:rsid w:val="00CE1A3F"/>
    <w:rsid w:val="00CE2D21"/>
    <w:rsid w:val="00CE468D"/>
    <w:rsid w:val="00D13A70"/>
    <w:rsid w:val="00D32712"/>
    <w:rsid w:val="00D432A0"/>
    <w:rsid w:val="00D52E52"/>
    <w:rsid w:val="00D53045"/>
    <w:rsid w:val="00D61D25"/>
    <w:rsid w:val="00D61FED"/>
    <w:rsid w:val="00D6210A"/>
    <w:rsid w:val="00D66A0B"/>
    <w:rsid w:val="00D738CE"/>
    <w:rsid w:val="00D910B7"/>
    <w:rsid w:val="00D92DE8"/>
    <w:rsid w:val="00D95FA7"/>
    <w:rsid w:val="00DB7463"/>
    <w:rsid w:val="00DB7D99"/>
    <w:rsid w:val="00DD1ACA"/>
    <w:rsid w:val="00DE3458"/>
    <w:rsid w:val="00DF4268"/>
    <w:rsid w:val="00DF7D22"/>
    <w:rsid w:val="00E01F2A"/>
    <w:rsid w:val="00E142C3"/>
    <w:rsid w:val="00E21488"/>
    <w:rsid w:val="00E4634E"/>
    <w:rsid w:val="00E556F4"/>
    <w:rsid w:val="00E60609"/>
    <w:rsid w:val="00E62E4D"/>
    <w:rsid w:val="00E70552"/>
    <w:rsid w:val="00E86DC6"/>
    <w:rsid w:val="00EA4232"/>
    <w:rsid w:val="00EB54FC"/>
    <w:rsid w:val="00EC6B66"/>
    <w:rsid w:val="00ED11CA"/>
    <w:rsid w:val="00ED337D"/>
    <w:rsid w:val="00ED47ED"/>
    <w:rsid w:val="00ED5C7B"/>
    <w:rsid w:val="00EE33EB"/>
    <w:rsid w:val="00EE3A31"/>
    <w:rsid w:val="00EF07B0"/>
    <w:rsid w:val="00F03F7F"/>
    <w:rsid w:val="00F13D78"/>
    <w:rsid w:val="00F23EE5"/>
    <w:rsid w:val="00F34FB4"/>
    <w:rsid w:val="00F42B37"/>
    <w:rsid w:val="00F43CA6"/>
    <w:rsid w:val="00F55A5B"/>
    <w:rsid w:val="00F616AF"/>
    <w:rsid w:val="00F642C0"/>
    <w:rsid w:val="00F644C2"/>
    <w:rsid w:val="00F6473B"/>
    <w:rsid w:val="00F71795"/>
    <w:rsid w:val="00F737B6"/>
    <w:rsid w:val="00F73AEB"/>
    <w:rsid w:val="00F81ECB"/>
    <w:rsid w:val="00F85829"/>
    <w:rsid w:val="00F93E70"/>
    <w:rsid w:val="00F968E2"/>
    <w:rsid w:val="00FA1604"/>
    <w:rsid w:val="00FC5797"/>
    <w:rsid w:val="00FC7036"/>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59F9-B22C-4CDD-B663-AB8D1898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690</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Costa Mata Entr. Pescado</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Mata Entr. Pescado</dc:title>
  <dc:creator/>
  <cp:keywords/>
  <dc:description>Pescado e aquícolas processado ou industrializado. Redução de Base de Cálculo. Decreto n.º 43.771/12: Escrituração</dc:description>
  <cp:lastModifiedBy>Thereza Marina Cunha M. Cunha</cp:lastModifiedBy>
  <cp:revision>37</cp:revision>
  <cp:lastPrinted>2015-10-01T20:49:00Z</cp:lastPrinted>
  <dcterms:created xsi:type="dcterms:W3CDTF">2017-07-05T13:55:00Z</dcterms:created>
  <dcterms:modified xsi:type="dcterms:W3CDTF">2017-07-12T20:42:00Z</dcterms:modified>
  <cp:category>E04-0791529-17</cp:category>
</cp:coreProperties>
</file>