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DF4525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6F06F0" w:rsidRDefault="00DF4525" w:rsidP="0059499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6F06F0" w:rsidRDefault="00DF4525" w:rsidP="0059499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9114C8" w:rsidRDefault="00DF4525" w:rsidP="00594994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transferência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de saldo da Incorporada para a Consulente, </w:t>
            </w:r>
            <w:r w:rsidRPr="00435594">
              <w:rPr>
                <w:rFonts w:ascii="Times New Roman" w:hAnsi="Times New Roman"/>
                <w:smallCaps w:val="0"/>
                <w:szCs w:val="22"/>
              </w:rPr>
              <w:t>bem como sobre a continuidade de cumprimento de obrigações acessórias em caso de atividade iniciada pela Incorporada.</w:t>
            </w:r>
            <w:r w:rsidR="00822FC1" w:rsidRPr="00435594">
              <w:rPr>
                <w:rFonts w:ascii="Times New Roman" w:hAnsi="Times New Roman"/>
                <w:smallCaps w:val="0"/>
                <w:szCs w:val="22"/>
              </w:rPr>
              <w:t xml:space="preserve"> </w:t>
            </w:r>
            <w:proofErr w:type="gramStart"/>
            <w:r w:rsidR="00435594" w:rsidRPr="00435594">
              <w:rPr>
                <w:rFonts w:ascii="Times New Roman" w:hAnsi="Times New Roman"/>
                <w:smallCaps w:val="0"/>
                <w:szCs w:val="22"/>
              </w:rPr>
              <w:t>devem</w:t>
            </w:r>
            <w:proofErr w:type="gramEnd"/>
            <w:r w:rsidR="00435594" w:rsidRPr="00435594">
              <w:rPr>
                <w:rFonts w:ascii="Times New Roman" w:hAnsi="Times New Roman"/>
                <w:smallCaps w:val="0"/>
                <w:szCs w:val="22"/>
              </w:rPr>
              <w:t xml:space="preserve"> ser transferidos todos os saldos porventura existentes em todos os livros fiscais da incorporada, tendo em vista a assunção, pelo estabelecimento sucessor, de todos os direitos e obrigações do referido estabelecimento. </w:t>
            </w:r>
            <w:proofErr w:type="gramStart"/>
            <w:r w:rsidR="00435594" w:rsidRPr="00435594">
              <w:rPr>
                <w:rFonts w:ascii="Times New Roman" w:hAnsi="Times New Roman"/>
                <w:smallCaps w:val="0"/>
                <w:szCs w:val="22"/>
              </w:rPr>
              <w:t>devem</w:t>
            </w:r>
            <w:proofErr w:type="gramEnd"/>
            <w:r w:rsidR="00435594" w:rsidRPr="00435594">
              <w:rPr>
                <w:rFonts w:ascii="Times New Roman" w:hAnsi="Times New Roman"/>
                <w:smallCaps w:val="0"/>
                <w:szCs w:val="22"/>
              </w:rPr>
              <w:t xml:space="preserve"> ser continuadas as operações inicialmente realizadas pela incorporada e “finalizadas” em nome da consulente (sucessora), devendo ser informada a sucessão societária no campo “Informações Complementares” da Nota Fiscal e ser informada a operação no</w:t>
            </w:r>
            <w:r w:rsidR="00435594" w:rsidRPr="00822FC1">
              <w:rPr>
                <w:rFonts w:ascii="Times New Roman" w:hAnsi="Times New Roman"/>
                <w:szCs w:val="22"/>
              </w:rPr>
              <w:t xml:space="preserve"> </w:t>
            </w:r>
            <w:r w:rsidR="0044157F" w:rsidRPr="00822FC1">
              <w:rPr>
                <w:rFonts w:ascii="Times New Roman" w:hAnsi="Times New Roman"/>
                <w:szCs w:val="22"/>
              </w:rPr>
              <w:t>RUDFTO.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3C74CE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"/>
                <w:szCs w:val="22"/>
              </w:rPr>
            </w:pPr>
          </w:p>
          <w:p w:rsidR="00D47680" w:rsidRPr="003C74CE" w:rsidRDefault="00D47680" w:rsidP="00435594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</w:t>
            </w:r>
            <w:r w:rsidR="00435594">
              <w:rPr>
                <w:rFonts w:ascii="Times New Roman" w:hAnsi="Times New Roman"/>
                <w:szCs w:val="22"/>
              </w:rPr>
              <w:t>082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>
              <w:rPr>
                <w:rFonts w:ascii="Times New Roman" w:hAnsi="Times New Roman"/>
                <w:szCs w:val="22"/>
              </w:rPr>
              <w:t>6</w:t>
            </w:r>
          </w:p>
        </w:tc>
      </w:tr>
    </w:tbl>
    <w:p w:rsidR="0044157F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24"/>
          <w:szCs w:val="22"/>
        </w:rPr>
      </w:pPr>
    </w:p>
    <w:p w:rsidR="003C74CE" w:rsidRPr="0044157F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44157F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4"/>
        </w:rPr>
      </w:pPr>
    </w:p>
    <w:p w:rsidR="00A14030" w:rsidRPr="008D0CD7" w:rsidRDefault="00A14030" w:rsidP="00A14030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solicita </w:t>
      </w:r>
      <w:r w:rsidRPr="00084116">
        <w:rPr>
          <w:b/>
          <w:sz w:val="22"/>
          <w:szCs w:val="22"/>
        </w:rPr>
        <w:t xml:space="preserve">o entendimento desta Superintendência de Tributação </w:t>
      </w:r>
      <w:r w:rsidRPr="00580D70">
        <w:rPr>
          <w:b/>
          <w:sz w:val="22"/>
          <w:szCs w:val="22"/>
        </w:rPr>
        <w:t>sobre a transferência de saldo da Incorporada para a Consulente, bem como sobre a continuidade de cumprimento de obrigações acessórias em caso de atividade iniciada pela Incorporada</w:t>
      </w:r>
      <w:r w:rsidRPr="003670F1">
        <w:rPr>
          <w:b/>
          <w:sz w:val="22"/>
          <w:szCs w:val="22"/>
        </w:rPr>
        <w:t>.</w:t>
      </w:r>
    </w:p>
    <w:p w:rsidR="00A14030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 xml:space="preserve">DARJ referente ao recolhimento da taxa de serviços Estaduais (fl. </w:t>
      </w:r>
      <w:r>
        <w:rPr>
          <w:sz w:val="22"/>
          <w:szCs w:val="22"/>
        </w:rPr>
        <w:t xml:space="preserve">8), </w:t>
      </w:r>
      <w:r w:rsidRPr="008D0CD7">
        <w:rPr>
          <w:sz w:val="22"/>
          <w:szCs w:val="22"/>
        </w:rPr>
        <w:t>bem como</w:t>
      </w:r>
      <w:r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Pr="004F477C">
        <w:t xml:space="preserve"> </w:t>
      </w:r>
      <w:r w:rsidRPr="004F477C">
        <w:rPr>
          <w:sz w:val="22"/>
          <w:szCs w:val="22"/>
        </w:rPr>
        <w:t>cópias reprográficas que comprovam a habilitação do signatári</w:t>
      </w:r>
      <w:r>
        <w:rPr>
          <w:sz w:val="22"/>
          <w:szCs w:val="22"/>
        </w:rPr>
        <w:t>o da petição inicial (fls. 10/29 e 32/33</w:t>
      </w:r>
      <w:r w:rsidRPr="004F477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239D5" w:rsidRDefault="000855F6" w:rsidP="00623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Após dar forma processual, </w:t>
      </w:r>
      <w:proofErr w:type="gramStart"/>
      <w:r>
        <w:rPr>
          <w:rFonts w:ascii="Times New Roman" w:hAnsi="Times New Roman" w:cs="Times New Roman"/>
        </w:rPr>
        <w:t>a Subsecretaria</w:t>
      </w:r>
      <w:proofErr w:type="gramEnd"/>
      <w:r>
        <w:rPr>
          <w:rFonts w:ascii="Times New Roman" w:hAnsi="Times New Roman" w:cs="Times New Roman"/>
        </w:rPr>
        <w:t xml:space="preserve"> da Receita encaminhou o presente administrativo a esta Superintendência de Tributação para análise. Todavia, o administrativo foi encaminhado</w:t>
      </w:r>
      <w:r w:rsidR="006239D5">
        <w:rPr>
          <w:rFonts w:ascii="Times New Roman" w:hAnsi="Times New Roman" w:cs="Times New Roman"/>
        </w:rPr>
        <w:t>, por esta CCJT,</w:t>
      </w:r>
      <w:r>
        <w:rPr>
          <w:rFonts w:ascii="Times New Roman" w:hAnsi="Times New Roman" w:cs="Times New Roman"/>
        </w:rPr>
        <w:t xml:space="preserve"> para a </w:t>
      </w:r>
      <w:r w:rsidRPr="006239D5">
        <w:rPr>
          <w:rFonts w:ascii="Times New Roman" w:eastAsia="Times New Roman" w:hAnsi="Times New Roman" w:cs="Times New Roman"/>
        </w:rPr>
        <w:t>IRF 17.01 – Duque de Caxias, para o cumprimento do disposto nos incisos I e II do art. 3º da Resolução nº 109/76</w:t>
      </w:r>
      <w:r w:rsidR="00233A2F">
        <w:rPr>
          <w:rStyle w:val="Refdenotaderodap"/>
          <w:rFonts w:ascii="Times New Roman" w:hAnsi="Times New Roman" w:cs="Times New Roman"/>
        </w:rPr>
        <w:footnoteReference w:id="1"/>
      </w:r>
      <w:r w:rsidRPr="006239D5">
        <w:rPr>
          <w:rFonts w:ascii="Times New Roman" w:eastAsia="Times New Roman" w:hAnsi="Times New Roman" w:cs="Times New Roman"/>
        </w:rPr>
        <w:t>, procedimento formal essencial</w:t>
      </w:r>
      <w:r w:rsidR="006239D5" w:rsidRPr="006239D5">
        <w:rPr>
          <w:rFonts w:ascii="Times New Roman" w:eastAsia="Times New Roman" w:hAnsi="Times New Roman" w:cs="Times New Roman"/>
        </w:rPr>
        <w:t xml:space="preserve"> para análise de Consulta Tributária.</w:t>
      </w:r>
    </w:p>
    <w:p w:rsidR="000855F6" w:rsidRDefault="006239D5" w:rsidP="000855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importante ressaltar o disposto n</w:t>
      </w:r>
      <w:r w:rsidR="000855F6">
        <w:rPr>
          <w:rFonts w:ascii="Times New Roman" w:hAnsi="Times New Roman" w:cs="Times New Roman"/>
        </w:rPr>
        <w:t xml:space="preserve">o </w:t>
      </w:r>
      <w:r w:rsidR="000855F6">
        <w:rPr>
          <w:rFonts w:ascii="Times New Roman" w:hAnsi="Times New Roman" w:cs="Times New Roman"/>
          <w:i/>
        </w:rPr>
        <w:t>caput</w:t>
      </w:r>
      <w:r w:rsidR="000855F6">
        <w:rPr>
          <w:rFonts w:ascii="Times New Roman" w:hAnsi="Times New Roman" w:cs="Times New Roman"/>
        </w:rPr>
        <w:t xml:space="preserve"> do art. 151 do Decreto nº 2.473/79</w:t>
      </w:r>
      <w:r w:rsidR="000855F6">
        <w:rPr>
          <w:rStyle w:val="Refdenotaderodap"/>
          <w:rFonts w:ascii="Times New Roman" w:hAnsi="Times New Roman" w:cs="Times New Roman"/>
        </w:rPr>
        <w:footnoteReference w:id="2"/>
      </w:r>
      <w:r w:rsidR="000855F6">
        <w:rPr>
          <w:rFonts w:ascii="Times New Roman" w:hAnsi="Times New Roman" w:cs="Times New Roman"/>
        </w:rPr>
        <w:t xml:space="preserve">, que determina </w:t>
      </w:r>
      <w:r>
        <w:rPr>
          <w:rFonts w:ascii="Times New Roman" w:hAnsi="Times New Roman" w:cs="Times New Roman"/>
        </w:rPr>
        <w:t xml:space="preserve">a </w:t>
      </w:r>
      <w:r w:rsidR="000855F6">
        <w:rPr>
          <w:rFonts w:ascii="Times New Roman" w:hAnsi="Times New Roman" w:cs="Times New Roman"/>
        </w:rPr>
        <w:t xml:space="preserve">apresentação </w:t>
      </w:r>
      <w:r>
        <w:rPr>
          <w:rFonts w:ascii="Times New Roman" w:hAnsi="Times New Roman" w:cs="Times New Roman"/>
        </w:rPr>
        <w:t xml:space="preserve">de consulta tributária </w:t>
      </w:r>
      <w:r w:rsidR="000855F6">
        <w:rPr>
          <w:rFonts w:ascii="Times New Roman" w:hAnsi="Times New Roman" w:cs="Times New Roman"/>
        </w:rPr>
        <w:t>na repartição fiscal de circunscrição do contribuinte. O local de apresentação é de fundamental importância tendo em vista que, de acordo com os incisos I e II do art. 3º da Resolução nº 109</w:t>
      </w:r>
      <w:r>
        <w:rPr>
          <w:rFonts w:ascii="Times New Roman" w:hAnsi="Times New Roman" w:cs="Times New Roman"/>
        </w:rPr>
        <w:t>/</w:t>
      </w:r>
      <w:r w:rsidR="000855F6">
        <w:rPr>
          <w:rFonts w:ascii="Times New Roman" w:hAnsi="Times New Roman" w:cs="Times New Roman"/>
        </w:rPr>
        <w:t xml:space="preserve">76, informações quanto </w:t>
      </w:r>
      <w:proofErr w:type="gramStart"/>
      <w:r w:rsidR="000855F6">
        <w:rPr>
          <w:rFonts w:ascii="Times New Roman" w:hAnsi="Times New Roman" w:cs="Times New Roman"/>
        </w:rPr>
        <w:t>a</w:t>
      </w:r>
      <w:proofErr w:type="gramEnd"/>
      <w:r w:rsidR="000855F6">
        <w:rPr>
          <w:rFonts w:ascii="Times New Roman" w:hAnsi="Times New Roman" w:cs="Times New Roman"/>
        </w:rPr>
        <w:t xml:space="preserve"> ação fiscal iniciada e não concluída junto ao consulente, bem como a existência de auto de infração </w:t>
      </w:r>
      <w:r w:rsidR="000855F6" w:rsidRPr="008526FA">
        <w:rPr>
          <w:rFonts w:ascii="Times New Roman" w:hAnsi="Times New Roman" w:cs="Times New Roman"/>
        </w:rPr>
        <w:t>cujo fundamento esteja direta ou indiretamente relacionado às dúvidas suscitadas ainda pendente de decisão final</w:t>
      </w:r>
      <w:r w:rsidR="000855F6">
        <w:rPr>
          <w:rFonts w:ascii="Times New Roman" w:hAnsi="Times New Roman" w:cs="Times New Roman"/>
        </w:rPr>
        <w:t xml:space="preserve">, são prestadas obrigatoriamente pela </w:t>
      </w:r>
      <w:r w:rsidR="000855F6">
        <w:rPr>
          <w:rFonts w:ascii="Times New Roman" w:hAnsi="Times New Roman" w:cs="Times New Roman"/>
        </w:rPr>
        <w:lastRenderedPageBreak/>
        <w:t xml:space="preserve">repartição fiscal de circunscrição do contribuinte.  Essas informações quando fornecidas pelo próprio contribuinte, como consta </w:t>
      </w:r>
      <w:r>
        <w:rPr>
          <w:rFonts w:ascii="Times New Roman" w:hAnsi="Times New Roman" w:cs="Times New Roman"/>
        </w:rPr>
        <w:t>da fl. 3</w:t>
      </w:r>
      <w:r w:rsidR="000855F6">
        <w:rPr>
          <w:rFonts w:ascii="Times New Roman" w:hAnsi="Times New Roman" w:cs="Times New Roman"/>
        </w:rPr>
        <w:t xml:space="preserve"> do presente, são inócuas e não suprem a manifestação fiscal, estando em desacordo com o comando legislativo.</w:t>
      </w:r>
    </w:p>
    <w:p w:rsidR="000855F6" w:rsidRDefault="00233A2F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seguida, à fl. 39, a IRF 17.01 se manifestou no sentido </w:t>
      </w:r>
      <w:r w:rsidR="00A125EC">
        <w:rPr>
          <w:sz w:val="22"/>
          <w:szCs w:val="22"/>
        </w:rPr>
        <w:t xml:space="preserve">de </w:t>
      </w:r>
      <w:r>
        <w:rPr>
          <w:sz w:val="22"/>
          <w:szCs w:val="22"/>
        </w:rPr>
        <w:t>que a consulente “</w:t>
      </w:r>
      <w:r>
        <w:rPr>
          <w:i/>
          <w:sz w:val="22"/>
          <w:szCs w:val="22"/>
        </w:rPr>
        <w:t>não se encontra em ação fiscal e não sofreu autuação alguma</w:t>
      </w:r>
      <w:r>
        <w:rPr>
          <w:sz w:val="22"/>
          <w:szCs w:val="22"/>
        </w:rPr>
        <w:t>”.</w:t>
      </w:r>
    </w:p>
    <w:p w:rsidR="0018777E" w:rsidRDefault="00233A2F" w:rsidP="00233A2F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Relativamente à consulta apresentada, é informado na inicial que </w:t>
      </w:r>
      <w:r w:rsidR="0018777E">
        <w:rPr>
          <w:sz w:val="22"/>
          <w:szCs w:val="22"/>
        </w:rPr>
        <w:t xml:space="preserve">a Consulente está prestes a incorporar outra empresa, denominada ‘Incorporada’, </w:t>
      </w:r>
      <w:r w:rsidRPr="0018777E">
        <w:rPr>
          <w:sz w:val="22"/>
          <w:szCs w:val="22"/>
        </w:rPr>
        <w:t>por razões operacionais, gerenciais e societárias</w:t>
      </w:r>
      <w:r w:rsidR="0018777E">
        <w:rPr>
          <w:sz w:val="22"/>
          <w:szCs w:val="22"/>
        </w:rPr>
        <w:t>. E que “</w:t>
      </w:r>
      <w:r w:rsidR="0018777E">
        <w:rPr>
          <w:i/>
          <w:sz w:val="22"/>
          <w:szCs w:val="22"/>
        </w:rPr>
        <w:t>com a incorporação a Consulente</w:t>
      </w:r>
      <w:r w:rsidR="0018777E" w:rsidRPr="0018777E">
        <w:rPr>
          <w:b/>
          <w:i/>
          <w:sz w:val="22"/>
          <w:szCs w:val="22"/>
        </w:rPr>
        <w:t xml:space="preserve"> sucederá a Incorporada universalmente em todos os direitos e obrigações</w:t>
      </w:r>
      <w:r w:rsidR="0018777E">
        <w:rPr>
          <w:i/>
          <w:sz w:val="22"/>
          <w:szCs w:val="22"/>
        </w:rPr>
        <w:t>, nos termos do artigo 1.116 do Código Civil</w:t>
      </w:r>
      <w:r w:rsidR="0018777E">
        <w:rPr>
          <w:sz w:val="22"/>
          <w:szCs w:val="22"/>
        </w:rPr>
        <w:t>”</w:t>
      </w:r>
      <w:r w:rsidR="008C378C">
        <w:rPr>
          <w:sz w:val="22"/>
          <w:szCs w:val="22"/>
        </w:rPr>
        <w:t>.</w:t>
      </w:r>
    </w:p>
    <w:p w:rsidR="0018777E" w:rsidRDefault="00B20DFA" w:rsidP="00233A2F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Adicionalmente, “</w:t>
      </w:r>
      <w:r>
        <w:rPr>
          <w:i/>
          <w:sz w:val="22"/>
          <w:szCs w:val="22"/>
        </w:rPr>
        <w:t>a Consulente informa que até o presente momento não houve publicação de regulamentação sobre os procedimentos a serem adotados pelos contribuintes em caso de incorporação, como exemplo para fins de: (i) transferência de saldo de uma empresa para outra; bem como (</w:t>
      </w:r>
      <w:proofErr w:type="gramStart"/>
      <w:r>
        <w:rPr>
          <w:i/>
          <w:sz w:val="22"/>
          <w:szCs w:val="22"/>
        </w:rPr>
        <w:t>ii</w:t>
      </w:r>
      <w:proofErr w:type="gramEnd"/>
      <w:r>
        <w:rPr>
          <w:i/>
          <w:sz w:val="22"/>
          <w:szCs w:val="22"/>
        </w:rPr>
        <w:t>) procedimentos relativos ao cumprimento de obrigação acessória em operações iniciadas em nome da Incorporada, mas finalizadas após a incorporação</w:t>
      </w:r>
      <w:r>
        <w:rPr>
          <w:sz w:val="22"/>
          <w:szCs w:val="22"/>
        </w:rPr>
        <w:t>”.</w:t>
      </w:r>
    </w:p>
    <w:p w:rsidR="00B20DFA" w:rsidRDefault="00B20DFA" w:rsidP="00233A2F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Considerando o exposto</w:t>
      </w:r>
      <w:r w:rsidR="00FB355E">
        <w:rPr>
          <w:sz w:val="22"/>
          <w:szCs w:val="22"/>
        </w:rPr>
        <w:t>, a consulente entende que deve adotar os seguintes procedimentos:</w:t>
      </w:r>
    </w:p>
    <w:p w:rsidR="00FB355E" w:rsidRPr="00FB355E" w:rsidRDefault="00FB355E" w:rsidP="00FB355E">
      <w:pPr>
        <w:pStyle w:val="Corpodetexto"/>
        <w:numPr>
          <w:ilvl w:val="0"/>
          <w:numId w:val="28"/>
        </w:numPr>
        <w:spacing w:line="360" w:lineRule="auto"/>
        <w:jc w:val="both"/>
        <w:rPr>
          <w:b/>
          <w:sz w:val="22"/>
          <w:szCs w:val="22"/>
        </w:rPr>
      </w:pPr>
      <w:r w:rsidRPr="00FB355E">
        <w:rPr>
          <w:b/>
          <w:sz w:val="22"/>
          <w:szCs w:val="22"/>
        </w:rPr>
        <w:t>Procedimentos para transferência:</w:t>
      </w:r>
    </w:p>
    <w:p w:rsidR="00FB355E" w:rsidRDefault="00FB355E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título exemplificativo, a Consulente entende que a transferência de saldo inclui, pelo menos, saldos relativos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: (a) produto acabado; (b) insumos (e.g., matéria-prima, material de embalagem, material intermediário); (c) ativo permanente; (d) material de uso e consumo; (e) peças de reposição;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;</w:t>
      </w:r>
    </w:p>
    <w:p w:rsidR="00FB355E" w:rsidRDefault="00FB355E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vedação sobre a emissão de documento fiscal em casos em que não ocorrer circulação de mercadoria, a Consulente entende que a transferência de eventuais saldos (existentes nas obrigações acessórias da Incorporada para a Consulente) devem ser </w:t>
      </w:r>
      <w:proofErr w:type="gramStart"/>
      <w:r>
        <w:rPr>
          <w:sz w:val="22"/>
          <w:szCs w:val="22"/>
        </w:rPr>
        <w:t>realizados por meio de registro</w:t>
      </w:r>
      <w:proofErr w:type="gramEnd"/>
      <w:r>
        <w:rPr>
          <w:sz w:val="22"/>
          <w:szCs w:val="22"/>
        </w:rPr>
        <w:t xml:space="preserve"> direto na Escrituração Fiscal Digital (“EFD”) ICMS/IPI da Consulente, com a respectiva informação no Livro de Registro de Utilização de Documentos Fiscais e Termos de Ocorrências (Modelo 6);</w:t>
      </w:r>
    </w:p>
    <w:p w:rsidR="00FB355E" w:rsidRDefault="00FB355E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Dessa forma, os valores de saldo serão escriturados no Bloco H (Registro de Inventário) da EFD-ICMS/IPI da Consulente, como saldo inicial do </w:t>
      </w:r>
      <w:proofErr w:type="gramStart"/>
      <w:r>
        <w:rPr>
          <w:sz w:val="22"/>
          <w:szCs w:val="22"/>
        </w:rPr>
        <w:t xml:space="preserve">período </w:t>
      </w:r>
      <w:r w:rsidR="00F629F5">
        <w:rPr>
          <w:sz w:val="22"/>
          <w:szCs w:val="22"/>
        </w:rPr>
        <w:t>,</w:t>
      </w:r>
      <w:proofErr w:type="gramEnd"/>
      <w:r w:rsidR="00F629F5">
        <w:rPr>
          <w:sz w:val="22"/>
          <w:szCs w:val="22"/>
        </w:rPr>
        <w:t xml:space="preserve"> após a incorporação.</w:t>
      </w:r>
    </w:p>
    <w:p w:rsidR="00FB355E" w:rsidRPr="00FB355E" w:rsidRDefault="00FB355E" w:rsidP="00FB355E">
      <w:pPr>
        <w:pStyle w:val="Corpodetexto"/>
        <w:numPr>
          <w:ilvl w:val="0"/>
          <w:numId w:val="28"/>
        </w:numPr>
        <w:spacing w:line="360" w:lineRule="auto"/>
        <w:jc w:val="both"/>
        <w:rPr>
          <w:b/>
          <w:sz w:val="22"/>
          <w:szCs w:val="22"/>
        </w:rPr>
      </w:pPr>
      <w:r w:rsidRPr="00FB355E">
        <w:rPr>
          <w:b/>
          <w:sz w:val="22"/>
          <w:szCs w:val="22"/>
        </w:rPr>
        <w:t>Procedimentos relativos ao cumprimento de Obrigação Acessória:</w:t>
      </w:r>
    </w:p>
    <w:p w:rsidR="00B20DFA" w:rsidRDefault="00F629F5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 título</w:t>
      </w:r>
      <w:proofErr w:type="gramEnd"/>
      <w:r>
        <w:rPr>
          <w:sz w:val="22"/>
          <w:szCs w:val="22"/>
        </w:rPr>
        <w:t xml:space="preserve"> exemplificativo, a Consulente entende que as operações inicialmente realizadas pela Incorporada e “finalizadas” em nome da Consulente incluem, pelo menos: (a) operação de remessa e retorno ( Remessa com a I.E. da Incorporada e retorno com a I.E. da Consulente), a qualquer título (e.g., industrialização por encomenda, remessa para conserto, remessa para utilização de ativo fora do estabelecimento, etc.); (b) outras operações inicialmente realizadas pela Incorporada (e.g., inclusive com nota fiscal emitida em nome da Incorporada); (c) devolução;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;</w:t>
      </w:r>
    </w:p>
    <w:p w:rsidR="00F629F5" w:rsidRDefault="00F629F5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casos em que um terceiro tenha recebido nota fiscal de remessa da Incorporada, a Consulente entende que o retorno deve ser feito para o estabelecimento da Consulente (com indicação da nova Inscrição Estadual), com informações acerca da sucessão societária no campo “informações complementares” da nota fiscal, bem como as informações sobre a nota fiscal original de remessa. Tanto o terceiro quanto a Consulente informarão a operação no Livro Modelo 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;</w:t>
      </w:r>
    </w:p>
    <w:p w:rsidR="00F629F5" w:rsidRDefault="00F629F5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Nos casos em que a Incorporada tiver recebido nota fiscal de remessa de terceiro, a Consulente dará continuidade da operação, efetuando o respectivo retorno para o terceiro, com informações acerca da sucessão societária no campo “informações complementares” da nota fiscal, bem como as informações sobre a nota fiscal original de remessa (</w:t>
      </w:r>
      <w:r w:rsidR="0063619B">
        <w:rPr>
          <w:sz w:val="22"/>
          <w:szCs w:val="22"/>
        </w:rPr>
        <w:t xml:space="preserve">em nome da Incorporada). Tanto a Consulente quanto o terceiro informarão a operação no Livro Modelo </w:t>
      </w:r>
      <w:proofErr w:type="gramStart"/>
      <w:r w:rsidR="0063619B">
        <w:rPr>
          <w:sz w:val="22"/>
          <w:szCs w:val="22"/>
        </w:rPr>
        <w:t>6</w:t>
      </w:r>
      <w:proofErr w:type="gramEnd"/>
      <w:r w:rsidR="0063619B">
        <w:rPr>
          <w:sz w:val="22"/>
          <w:szCs w:val="22"/>
        </w:rPr>
        <w:t>;</w:t>
      </w:r>
    </w:p>
    <w:p w:rsidR="0063619B" w:rsidRDefault="0063619B" w:rsidP="00FB355E">
      <w:pPr>
        <w:pStyle w:val="Corpodetexto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casos em que houver emissão de nota fiscal em nome da Incorporada, a Consulente dará continuidade da operação, realizando o respectivo registro do documento fiscal em seu Livro de Registro de Entrada ou Saída (conforme o caso), com a informação sobre a incorporação no campo “observação” do respectivo Livro Registro de nota fiscal, bem como no Livro Modelo 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</w:p>
    <w:p w:rsidR="00233A2F" w:rsidRDefault="0063619B" w:rsidP="0063619B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Assim, a Consulente requer que seja confirmado o entendimento sobre a transferência de saldo da Incorporada para a Consulente, bem como sobre a continuidade de cumprimento de obrigações acessórias em caso de atividade iniciada pela Incorporada. Requer, ainda, caso o procedimento não esteja de acordo com o entendimento desta Superintendência, que sejam indicados os procedimentos a </w:t>
      </w:r>
      <w:r>
        <w:rPr>
          <w:sz w:val="22"/>
          <w:szCs w:val="22"/>
        </w:rPr>
        <w:lastRenderedPageBreak/>
        <w:t>serem adotados pela Consulente nos casos mencionados.</w:t>
      </w:r>
    </w:p>
    <w:p w:rsidR="0044157F" w:rsidRPr="0044157F" w:rsidRDefault="0044157F" w:rsidP="0063619B">
      <w:pPr>
        <w:pStyle w:val="Corpodetexto"/>
        <w:spacing w:line="360" w:lineRule="auto"/>
        <w:ind w:firstLine="709"/>
        <w:jc w:val="both"/>
        <w:rPr>
          <w:sz w:val="1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3C74CE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0"/>
        </w:rPr>
      </w:pPr>
    </w:p>
    <w:p w:rsidR="002519DC" w:rsidRDefault="002519DC" w:rsidP="002519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86952">
        <w:rPr>
          <w:rFonts w:ascii="Times New Roman" w:hAnsi="Times New Roman" w:cs="Times New Roman"/>
        </w:rPr>
        <w:t xml:space="preserve">Preliminarmente, </w:t>
      </w:r>
      <w:r>
        <w:rPr>
          <w:rFonts w:ascii="Times New Roman" w:hAnsi="Times New Roman" w:cs="Times New Roman"/>
        </w:rPr>
        <w:t xml:space="preserve">esclarecemos </w:t>
      </w:r>
      <w:r w:rsidRPr="00386952">
        <w:rPr>
          <w:rFonts w:ascii="Times New Roman" w:hAnsi="Times New Roman" w:cs="Times New Roman"/>
        </w:rPr>
        <w:t>que o objetivo das soluções de consulta</w:t>
      </w:r>
      <w:r>
        <w:rPr>
          <w:rFonts w:ascii="Times New Roman" w:hAnsi="Times New Roman" w:cs="Times New Roman"/>
        </w:rPr>
        <w:t xml:space="preserve"> tributária</w:t>
      </w:r>
      <w:r w:rsidRPr="00386952">
        <w:rPr>
          <w:rFonts w:ascii="Times New Roman" w:hAnsi="Times New Roman" w:cs="Times New Roman"/>
        </w:rPr>
        <w:t xml:space="preserve"> é esclarecer questões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objetivas formuladas pelos consulentes acerca da interpretação de dispositivos específicos da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legislação tributária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 xml:space="preserve">no âmbito da </w:t>
      </w:r>
      <w:r>
        <w:rPr>
          <w:rFonts w:ascii="Times New Roman" w:hAnsi="Times New Roman" w:cs="Times New Roman"/>
        </w:rPr>
        <w:t xml:space="preserve">Secretaria de Fazenda do Estado do Rio de Janeiro, presumindo-se </w:t>
      </w:r>
      <w:r w:rsidRPr="00386952">
        <w:rPr>
          <w:rFonts w:ascii="Times New Roman" w:hAnsi="Times New Roman" w:cs="Times New Roman"/>
        </w:rPr>
        <w:t>corret</w:t>
      </w:r>
      <w:r>
        <w:rPr>
          <w:rFonts w:ascii="Times New Roman" w:hAnsi="Times New Roman" w:cs="Times New Roman"/>
        </w:rPr>
        <w:t>a</w:t>
      </w:r>
      <w:r w:rsidRPr="0038695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as</w:t>
      </w:r>
      <w:r w:rsidRPr="00386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informações</w:t>
      </w:r>
      <w:r w:rsidRPr="00386952">
        <w:rPr>
          <w:rFonts w:ascii="Times New Roman" w:hAnsi="Times New Roman" w:cs="Times New Roman"/>
        </w:rPr>
        <w:t xml:space="preserve"> apresentad</w:t>
      </w:r>
      <w:r>
        <w:rPr>
          <w:rFonts w:ascii="Times New Roman" w:hAnsi="Times New Roman" w:cs="Times New Roman"/>
        </w:rPr>
        <w:t>a</w:t>
      </w:r>
      <w:r w:rsidRPr="00386952">
        <w:rPr>
          <w:rFonts w:ascii="Times New Roman" w:hAnsi="Times New Roman" w:cs="Times New Roman"/>
        </w:rPr>
        <w:t>s pelos consulentes, sem questionar sua exatidão</w:t>
      </w:r>
      <w:r>
        <w:rPr>
          <w:rFonts w:ascii="Times New Roman" w:hAnsi="Times New Roman" w:cs="Times New Roman"/>
        </w:rPr>
        <w:t>.  A</w:t>
      </w:r>
      <w:r w:rsidRPr="00386952">
        <w:rPr>
          <w:rFonts w:ascii="Times New Roman" w:hAnsi="Times New Roman" w:cs="Times New Roman"/>
        </w:rPr>
        <w:t>s soluções de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consulta não convalidam informações, interpretações, ações ou omissões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aduzidas na consulta.</w:t>
      </w:r>
    </w:p>
    <w:p w:rsidR="0047613C" w:rsidRDefault="0047613C" w:rsidP="0047613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não cabe a esta Superintendência verificar a exatidão das afirmações do contribuinte e tampouco confirmar a ocorrência dos fatos narrados, mas tão somente responder em tese as dúvidas apresentadas, </w:t>
      </w:r>
      <w:proofErr w:type="gramStart"/>
      <w:r>
        <w:rPr>
          <w:rFonts w:ascii="Times New Roman" w:hAnsi="Times New Roman" w:cs="Times New Roman"/>
        </w:rPr>
        <w:t>passamos</w:t>
      </w:r>
      <w:proofErr w:type="gramEnd"/>
      <w:r>
        <w:rPr>
          <w:rFonts w:ascii="Times New Roman" w:hAnsi="Times New Roman" w:cs="Times New Roman"/>
        </w:rPr>
        <w:t xml:space="preserve"> a analisar a legislação que trata da responsabilidade tributária por sucessão.</w:t>
      </w:r>
    </w:p>
    <w:p w:rsidR="00B17E86" w:rsidRDefault="00B17E86" w:rsidP="0047613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mesmo sentido da Resposta de Consulta n° 66/2016, proferida nos autos do processo administrativo n° E-04/058/56/2016, esclareça-se o que segue:</w:t>
      </w:r>
    </w:p>
    <w:p w:rsidR="0047613C" w:rsidRDefault="00B17E86" w:rsidP="0047613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7613C">
        <w:rPr>
          <w:rFonts w:ascii="Times New Roman" w:hAnsi="Times New Roman" w:cs="Times New Roman"/>
        </w:rPr>
        <w:t xml:space="preserve"> Capítulo V do CTN dispõe sobre a responsabilidade tributária e em sua Seção II, trata da responsabilidade dos sucessores, destacando-se no presente caso a redação do artigo 132:</w:t>
      </w:r>
    </w:p>
    <w:p w:rsidR="0047613C" w:rsidRPr="0047613C" w:rsidRDefault="0047613C" w:rsidP="004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</w:rPr>
      </w:pPr>
    </w:p>
    <w:p w:rsidR="0047613C" w:rsidRPr="00B92C65" w:rsidRDefault="0047613C" w:rsidP="004761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046C0">
        <w:rPr>
          <w:rFonts w:ascii="Times New Roman" w:hAnsi="Times New Roman" w:cs="Times New Roman"/>
          <w:b/>
          <w:sz w:val="20"/>
          <w:szCs w:val="20"/>
        </w:rPr>
        <w:t>Art. 132</w:t>
      </w:r>
      <w:r w:rsidRPr="00B92C65">
        <w:rPr>
          <w:rFonts w:ascii="Times New Roman" w:hAnsi="Times New Roman" w:cs="Times New Roman"/>
          <w:sz w:val="20"/>
          <w:szCs w:val="20"/>
        </w:rPr>
        <w:t xml:space="preserve">. 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 xml:space="preserve">A pessoa jurídica de direito privado que resultar de </w:t>
      </w:r>
      <w:r w:rsidRPr="00B92C65">
        <w:rPr>
          <w:rFonts w:ascii="Times New Roman" w:hAnsi="Times New Roman" w:cs="Times New Roman"/>
          <w:b/>
          <w:sz w:val="20"/>
          <w:szCs w:val="20"/>
          <w:u w:val="single"/>
        </w:rPr>
        <w:t>fusão, transformação ou incorporação</w:t>
      </w:r>
      <w:r w:rsidRPr="00B92C65">
        <w:rPr>
          <w:rFonts w:ascii="Times New Roman" w:hAnsi="Times New Roman" w:cs="Times New Roman"/>
          <w:sz w:val="20"/>
          <w:szCs w:val="20"/>
          <w:u w:val="single"/>
        </w:rPr>
        <w:t xml:space="preserve"> de outra ou em outra é responsável pelos tributos devidos até à data do ato pelas pessoas jurídicas de direito privado fusionadas, transformadas ou incorporadas.</w:t>
      </w:r>
    </w:p>
    <w:p w:rsidR="0047613C" w:rsidRPr="00B92C65" w:rsidRDefault="0047613C" w:rsidP="004761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92C65">
        <w:rPr>
          <w:rFonts w:ascii="Times New Roman" w:hAnsi="Times New Roman" w:cs="Times New Roman"/>
          <w:sz w:val="20"/>
          <w:szCs w:val="20"/>
        </w:rPr>
        <w:t xml:space="preserve">Parágrafo único. O disposto neste artigo aplica-se aos casos de extinção de pessoas jurídicas de direito privado, quando a exploração da respectiva atividade seja continuada por qualquer sócio remanescente, ou seu espólio, sob a mesma ou outra razão social, ou </w:t>
      </w:r>
      <w:proofErr w:type="gramStart"/>
      <w:r w:rsidRPr="00B92C65">
        <w:rPr>
          <w:rFonts w:ascii="Times New Roman" w:hAnsi="Times New Roman" w:cs="Times New Roman"/>
          <w:sz w:val="20"/>
          <w:szCs w:val="20"/>
        </w:rPr>
        <w:t>sob firma</w:t>
      </w:r>
      <w:proofErr w:type="gramEnd"/>
      <w:r w:rsidRPr="00B92C65">
        <w:rPr>
          <w:rFonts w:ascii="Times New Roman" w:hAnsi="Times New Roman" w:cs="Times New Roman"/>
          <w:sz w:val="20"/>
          <w:szCs w:val="20"/>
        </w:rPr>
        <w:t xml:space="preserve"> individual.</w:t>
      </w:r>
    </w:p>
    <w:p w:rsidR="0047613C" w:rsidRPr="003C74CE" w:rsidRDefault="0047613C" w:rsidP="0047613C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47613C" w:rsidRDefault="0047613C" w:rsidP="0047613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artigo 132 do CTN diz respeito à sucessão societária nas hipóteses de fusão, cisão e incorporação, reorganizações societárias com disciplina e procedimento específicos na Lei das Sociedades Anônimas, Lei nº 6.404, de 15 de dezembro de 1976, Capítulo XVIII, artigos 223 a 234 e no Código Civil, Capítulo X, artigos 1113 a 1122.  </w:t>
      </w:r>
      <w:r w:rsidRPr="0047613C">
        <w:rPr>
          <w:rFonts w:ascii="Times New Roman" w:hAnsi="Times New Roman" w:cs="Times New Roman"/>
          <w:b/>
          <w:u w:val="single"/>
        </w:rPr>
        <w:t>Não havendo dúvidas nessas situações quanto à responsabilidade do sucessor, tanto no que se refere aos bens e direitos quanto às obrigações.</w:t>
      </w:r>
    </w:p>
    <w:p w:rsidR="008E02BC" w:rsidRDefault="008E02BC" w:rsidP="008E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Ainda na esfera federal, o Convênio </w:t>
      </w:r>
      <w:proofErr w:type="spellStart"/>
      <w:r>
        <w:rPr>
          <w:rFonts w:ascii="Times New Roman" w:hAnsi="Times New Roman" w:cs="Times New Roman"/>
        </w:rPr>
        <w:t>SNº</w:t>
      </w:r>
      <w:proofErr w:type="spellEnd"/>
      <w:r>
        <w:rPr>
          <w:rFonts w:ascii="Times New Roman" w:hAnsi="Times New Roman" w:cs="Times New Roman"/>
        </w:rPr>
        <w:t xml:space="preserve">/70, de 15 de dezembro de 1970, que estabelece normas gerais acerca de obrigações acessórias, em seu art. 69, </w:t>
      </w:r>
      <w:r w:rsidRPr="00A73786">
        <w:rPr>
          <w:rFonts w:ascii="Times New Roman" w:hAnsi="Times New Roman" w:cs="Times New Roman"/>
          <w:sz w:val="24"/>
          <w:szCs w:val="24"/>
        </w:rPr>
        <w:t xml:space="preserve">regulamenta o </w:t>
      </w:r>
      <w:r>
        <w:rPr>
          <w:rFonts w:ascii="Times New Roman" w:hAnsi="Times New Roman" w:cs="Times New Roman"/>
          <w:sz w:val="24"/>
          <w:szCs w:val="24"/>
        </w:rPr>
        <w:t xml:space="preserve">disposto nos </w:t>
      </w:r>
      <w:r w:rsidRPr="00A73786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igos 132 e 133</w:t>
      </w:r>
      <w:r w:rsidRPr="00A73786">
        <w:rPr>
          <w:rFonts w:ascii="Times New Roman" w:hAnsi="Times New Roman" w:cs="Times New Roman"/>
          <w:sz w:val="24"/>
          <w:szCs w:val="24"/>
        </w:rPr>
        <w:t xml:space="preserve"> do C</w:t>
      </w:r>
      <w:r>
        <w:rPr>
          <w:rFonts w:ascii="Times New Roman" w:hAnsi="Times New Roman" w:cs="Times New Roman"/>
          <w:sz w:val="24"/>
          <w:szCs w:val="24"/>
        </w:rPr>
        <w:t xml:space="preserve">ódigo </w:t>
      </w:r>
      <w:r w:rsidRPr="00A737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ributário Nacional, nos seguintes termos:</w:t>
      </w:r>
    </w:p>
    <w:p w:rsidR="008E02BC" w:rsidRPr="0044157F" w:rsidRDefault="008E02BC" w:rsidP="008E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</w:rPr>
      </w:pPr>
    </w:p>
    <w:p w:rsidR="008E02BC" w:rsidRPr="002E46D5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46D5">
        <w:rPr>
          <w:rFonts w:ascii="Times New Roman" w:hAnsi="Times New Roman" w:cs="Times New Roman"/>
          <w:sz w:val="20"/>
          <w:szCs w:val="20"/>
        </w:rPr>
        <w:t>Art. 69</w:t>
      </w:r>
      <w:r w:rsidRPr="00A6441D">
        <w:rPr>
          <w:rFonts w:ascii="Times New Roman" w:hAnsi="Times New Roman" w:cs="Times New Roman"/>
          <w:sz w:val="20"/>
          <w:szCs w:val="20"/>
          <w:u w:val="single"/>
        </w:rPr>
        <w:t xml:space="preserve">. Nos casos de fusão, incorporação, transformação </w:t>
      </w:r>
      <w:r w:rsidRPr="008E02BC">
        <w:rPr>
          <w:rFonts w:ascii="Times New Roman" w:hAnsi="Times New Roman" w:cs="Times New Roman"/>
          <w:sz w:val="20"/>
          <w:szCs w:val="20"/>
          <w:u w:val="single"/>
        </w:rPr>
        <w:t>ou aquisição</w:t>
      </w:r>
      <w:r w:rsidRPr="00A6441D">
        <w:rPr>
          <w:rFonts w:ascii="Times New Roman" w:hAnsi="Times New Roman" w:cs="Times New Roman"/>
          <w:sz w:val="20"/>
          <w:szCs w:val="20"/>
          <w:u w:val="single"/>
        </w:rPr>
        <w:t>, o novo titular</w:t>
      </w:r>
      <w:r w:rsidRPr="002E46D5">
        <w:rPr>
          <w:rFonts w:ascii="Times New Roman" w:hAnsi="Times New Roman" w:cs="Times New Roman"/>
          <w:sz w:val="20"/>
          <w:szCs w:val="20"/>
        </w:rPr>
        <w:t xml:space="preserve"> do estabelecimento </w:t>
      </w:r>
      <w:r w:rsidRPr="00A6441D">
        <w:rPr>
          <w:rFonts w:ascii="Times New Roman" w:hAnsi="Times New Roman" w:cs="Times New Roman"/>
          <w:sz w:val="20"/>
          <w:szCs w:val="20"/>
          <w:u w:val="single"/>
        </w:rPr>
        <w:t>deverá transferir, para o seu nome</w:t>
      </w:r>
      <w:r w:rsidRPr="002E46D5">
        <w:rPr>
          <w:rFonts w:ascii="Times New Roman" w:hAnsi="Times New Roman" w:cs="Times New Roman"/>
          <w:sz w:val="20"/>
          <w:szCs w:val="20"/>
        </w:rPr>
        <w:t xml:space="preserve">, por intermédio da </w:t>
      </w:r>
      <w:r w:rsidRPr="002E46D5">
        <w:rPr>
          <w:rFonts w:ascii="Times New Roman" w:hAnsi="Times New Roman" w:cs="Times New Roman"/>
          <w:sz w:val="20"/>
          <w:szCs w:val="20"/>
        </w:rPr>
        <w:lastRenderedPageBreak/>
        <w:t>repartição competente do Fisco estadual, no prazo de 30 (trinta) dias da data da ocorrência, os livros fiscais em uso, assumindo a responsabilidade pela sua guarda, conservação e exibição ao Fisco.</w:t>
      </w:r>
    </w:p>
    <w:p w:rsidR="008E02BC" w:rsidRPr="002E46D5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46D5">
        <w:rPr>
          <w:rFonts w:ascii="Times New Roman" w:hAnsi="Times New Roman" w:cs="Times New Roman"/>
          <w:sz w:val="20"/>
          <w:szCs w:val="20"/>
        </w:rPr>
        <w:t>Parágrafo único. A repartição competente do Fisco estadual poderá autorizar a adoção de livros novos em substituição aos anteriormente em uso.</w:t>
      </w:r>
      <w:r>
        <w:rPr>
          <w:rFonts w:ascii="Times New Roman" w:hAnsi="Times New Roman" w:cs="Times New Roman"/>
          <w:sz w:val="20"/>
          <w:szCs w:val="20"/>
        </w:rPr>
        <w:t xml:space="preserve"> (grifos nossos)</w:t>
      </w:r>
    </w:p>
    <w:p w:rsidR="008E02BC" w:rsidRPr="0044157F" w:rsidRDefault="008E02BC" w:rsidP="008E0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8E02BC" w:rsidRDefault="008E02BC" w:rsidP="008E02B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</w:t>
      </w:r>
      <w:proofErr w:type="gramStart"/>
      <w:r>
        <w:rPr>
          <w:rFonts w:ascii="Times New Roman" w:hAnsi="Times New Roman" w:cs="Times New Roman"/>
        </w:rPr>
        <w:t>o Livro VI</w:t>
      </w:r>
      <w:proofErr w:type="gramEnd"/>
      <w:r>
        <w:rPr>
          <w:rFonts w:ascii="Times New Roman" w:hAnsi="Times New Roman" w:cs="Times New Roman"/>
        </w:rPr>
        <w:t xml:space="preserve"> do Regulamento do ICMS, aprovado pelo Decreto nº 27.427, de 17 de novembro de 2000, (RICMS/00), que disciplina as obrigações acessórias, em seu artigo 43, transcrito abaixo, também regula a matéria de forma similar ao convênio supracitado, embora desatualizado no que diz respeito a possibilidade de dar continuidade a escrituração nos livros fiscais em uso ou mesmo de utilizar os documentos fiscais remanescentes tendo em vista a obrigatoriedade de adoção de documentos fiscais eletrônicos e da escrituração fiscal digital pelos contribuintes do ICMS.  </w:t>
      </w:r>
    </w:p>
    <w:p w:rsidR="008E02BC" w:rsidRPr="0044157F" w:rsidRDefault="008E02BC" w:rsidP="008E0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8E02BC" w:rsidRPr="00726A29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 xml:space="preserve">Art. 43.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 xml:space="preserve">Nos casos de fusão, cisão, incorporação, transformação ou </w:t>
      </w:r>
      <w:r w:rsidRPr="008E02BC">
        <w:rPr>
          <w:rFonts w:ascii="Times New Roman" w:hAnsi="Times New Roman" w:cs="Times New Roman"/>
          <w:sz w:val="20"/>
          <w:szCs w:val="20"/>
          <w:u w:val="single"/>
        </w:rPr>
        <w:t>aquisição</w:t>
      </w:r>
      <w:r w:rsidRPr="00726A29">
        <w:rPr>
          <w:rFonts w:ascii="Times New Roman" w:hAnsi="Times New Roman" w:cs="Times New Roman"/>
          <w:sz w:val="20"/>
          <w:szCs w:val="20"/>
        </w:rPr>
        <w:t xml:space="preserve">, bem como nos casos de transmissão a herdeiro ou legatário,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>o novo titular do estabelecimento deverá transferir para o seu nome</w:t>
      </w:r>
      <w:r w:rsidRPr="00726A29">
        <w:rPr>
          <w:rFonts w:ascii="Times New Roman" w:hAnsi="Times New Roman" w:cs="Times New Roman"/>
          <w:sz w:val="20"/>
          <w:szCs w:val="20"/>
        </w:rPr>
        <w:t xml:space="preserve">, por intermédio da repartição fiscal competente, no prazo de 30 (trinta) dias, contados da data da ocorrência,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>os livros fiscais em uso</w:t>
      </w:r>
      <w:r w:rsidRPr="00726A29">
        <w:rPr>
          <w:rFonts w:ascii="Times New Roman" w:hAnsi="Times New Roman" w:cs="Times New Roman"/>
          <w:sz w:val="20"/>
          <w:szCs w:val="20"/>
        </w:rPr>
        <w:t>, assumindo a responsabilidade por sua guarda, conservação e exibição ao Fisco.</w:t>
      </w:r>
    </w:p>
    <w:p w:rsidR="008E02BC" w:rsidRPr="00726A29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 xml:space="preserve">§ 1.º Nas hipóteses deste artigo, salvo disposição em contrário, será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>permitida a utilização dos documentos fiscais remanescentes</w:t>
      </w:r>
      <w:r w:rsidRPr="00726A29">
        <w:rPr>
          <w:rFonts w:ascii="Times New Roman" w:hAnsi="Times New Roman" w:cs="Times New Roman"/>
          <w:sz w:val="20"/>
          <w:szCs w:val="20"/>
        </w:rPr>
        <w:t>, mediante a aposição de carimbo com o novo nome empresarial ou o novo endereço, conforme o caso.</w:t>
      </w:r>
    </w:p>
    <w:p w:rsidR="008E02BC" w:rsidRPr="00726A29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>§ 2.º O novo titular assumirá, também, a responsabilidade pela guarda, conservação e exibição ao Fisco dos livros fiscais já encerrados pertencentes ao estabelecimento.</w:t>
      </w:r>
    </w:p>
    <w:p w:rsidR="008E02BC" w:rsidRPr="00726A29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 xml:space="preserve">§ 3.º Nas hipóteses deste artigo, </w:t>
      </w:r>
      <w:r w:rsidRPr="00050059">
        <w:rPr>
          <w:rFonts w:ascii="Times New Roman" w:hAnsi="Times New Roman" w:cs="Times New Roman"/>
          <w:sz w:val="20"/>
          <w:szCs w:val="20"/>
          <w:u w:val="single"/>
        </w:rPr>
        <w:t>a critério da repartição fiscal competente, pode ser autorizada a adoção de livros novos em substituição aos anteriormente em uso</w:t>
      </w:r>
      <w:r w:rsidRPr="00726A29">
        <w:rPr>
          <w:rFonts w:ascii="Times New Roman" w:hAnsi="Times New Roman" w:cs="Times New Roman"/>
          <w:sz w:val="20"/>
          <w:szCs w:val="20"/>
        </w:rPr>
        <w:t>.</w:t>
      </w:r>
    </w:p>
    <w:p w:rsidR="008E02BC" w:rsidRPr="00726A29" w:rsidRDefault="008E02BC" w:rsidP="008E02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26A29">
        <w:rPr>
          <w:rFonts w:ascii="Times New Roman" w:hAnsi="Times New Roman" w:cs="Times New Roman"/>
          <w:sz w:val="20"/>
          <w:szCs w:val="20"/>
        </w:rPr>
        <w:t>§ 4.º Relativamente a documentos e arquivos eletrônicos, inclusive a EFD ICMS/IPI, além da responsabilidade pela guarda, o contribuinte deverá observar as disposições específicas concernentes a esses documentos e arquivos.</w:t>
      </w:r>
      <w:r>
        <w:rPr>
          <w:rFonts w:ascii="Times New Roman" w:hAnsi="Times New Roman" w:cs="Times New Roman"/>
          <w:sz w:val="20"/>
          <w:szCs w:val="20"/>
        </w:rPr>
        <w:t xml:space="preserve"> (grifos nossos)</w:t>
      </w:r>
    </w:p>
    <w:p w:rsidR="008E02BC" w:rsidRPr="003C74CE" w:rsidRDefault="008E02BC" w:rsidP="008E02BC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8"/>
        </w:rPr>
      </w:pPr>
    </w:p>
    <w:p w:rsidR="0047613C" w:rsidRDefault="008E02BC" w:rsidP="008E02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certo que, nos casos a que se refere o </w:t>
      </w:r>
      <w:r w:rsidRPr="002B5885">
        <w:rPr>
          <w:rFonts w:ascii="Times New Roman" w:hAnsi="Times New Roman" w:cs="Times New Roman"/>
          <w:i/>
        </w:rPr>
        <w:t>caput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do art. 43 do Livro VI do RICMS/00, tendo em vista as soluções tecnológicas em uso para emissão de documentos fiscais e escrituração fiscal e ainda a </w:t>
      </w:r>
      <w:r w:rsidRPr="002B5885">
        <w:rPr>
          <w:rFonts w:ascii="Times New Roman" w:hAnsi="Times New Roman" w:cs="Times New Roman"/>
        </w:rPr>
        <w:t xml:space="preserve">nova redação do Anexo I, da Parte II, da Resolução SEFAZ nº 720/14, dada pela Resolução SEFAZ n.º 994/2016, que dispõe sobre o Cadastro de Contribuintes do ICMS, </w:t>
      </w:r>
      <w:r>
        <w:rPr>
          <w:rFonts w:ascii="Times New Roman" w:hAnsi="Times New Roman" w:cs="Times New Roman"/>
        </w:rPr>
        <w:t>determina</w:t>
      </w:r>
      <w:r w:rsidRPr="002B5885">
        <w:rPr>
          <w:rFonts w:ascii="Times New Roman" w:hAnsi="Times New Roman" w:cs="Times New Roman"/>
        </w:rPr>
        <w:t>ndo a obrigatoriedade de nova inscrição estadual para os estabelecimentos da empresa sucessora, resultantes do processo de fusão, incorporação ou cisão</w:t>
      </w:r>
      <w:r w:rsidR="00B17E86">
        <w:rPr>
          <w:rFonts w:ascii="Times New Roman" w:hAnsi="Times New Roman" w:cs="Times New Roman"/>
        </w:rPr>
        <w:t>, torna-se necessária</w:t>
      </w:r>
      <w:r>
        <w:rPr>
          <w:rFonts w:ascii="Times New Roman" w:hAnsi="Times New Roman" w:cs="Times New Roman"/>
        </w:rPr>
        <w:t xml:space="preserve"> alteração da legislação, em especial da Resolução SEFAZ nº 720/14, para operacionalizar a transferência de mercadorias em estoque, bens do ativo e manutenção dos créditos pelo estabelecimento sucessor.</w:t>
      </w:r>
    </w:p>
    <w:p w:rsidR="009371CE" w:rsidRDefault="005B38F6" w:rsidP="008E02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Aprofundando-se nos questionamentos </w:t>
      </w:r>
      <w:r w:rsidR="0044157F">
        <w:rPr>
          <w:rFonts w:ascii="Times New Roman" w:hAnsi="Times New Roman" w:cs="Times New Roman"/>
        </w:rPr>
        <w:t>formulados</w:t>
      </w:r>
      <w:r>
        <w:rPr>
          <w:rFonts w:ascii="Times New Roman" w:hAnsi="Times New Roman" w:cs="Times New Roman"/>
        </w:rPr>
        <w:t>, é importante apresentar uma ressalva r</w:t>
      </w:r>
      <w:r w:rsidR="009371CE" w:rsidRPr="009371CE">
        <w:rPr>
          <w:rFonts w:ascii="Times New Roman" w:hAnsi="Times New Roman" w:cs="Times New Roman"/>
        </w:rPr>
        <w:t>elativamente à alegação da consulente: "</w:t>
      </w:r>
      <w:r w:rsidR="009371CE" w:rsidRPr="005B38F6">
        <w:rPr>
          <w:rFonts w:ascii="Times New Roman" w:hAnsi="Times New Roman" w:cs="Times New Roman"/>
          <w:i/>
        </w:rPr>
        <w:t>considerando a vedação sobre a emissão de documento fiscal em casos em que não ocorrer circulação de mercadoria</w:t>
      </w:r>
      <w:r w:rsidR="009371CE" w:rsidRPr="009371CE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 xml:space="preserve">cabe-nos </w:t>
      </w:r>
      <w:r w:rsidR="009371CE" w:rsidRPr="009371CE">
        <w:rPr>
          <w:rFonts w:ascii="Times New Roman" w:hAnsi="Times New Roman" w:cs="Times New Roman"/>
        </w:rPr>
        <w:t>esclarece</w:t>
      </w:r>
      <w:r>
        <w:rPr>
          <w:rFonts w:ascii="Times New Roman" w:hAnsi="Times New Roman" w:cs="Times New Roman"/>
        </w:rPr>
        <w:t xml:space="preserve">r </w:t>
      </w:r>
      <w:r w:rsidR="009371CE" w:rsidRPr="009371CE">
        <w:rPr>
          <w:rFonts w:ascii="Times New Roman" w:hAnsi="Times New Roman" w:cs="Times New Roman"/>
        </w:rPr>
        <w:t xml:space="preserve">que esta premissa </w:t>
      </w:r>
      <w:r w:rsidR="009371CE" w:rsidRPr="009371CE">
        <w:rPr>
          <w:rFonts w:ascii="Times New Roman" w:hAnsi="Times New Roman" w:cs="Times New Roman"/>
        </w:rPr>
        <w:lastRenderedPageBreak/>
        <w:t>não é verdadeira, haja vista existir, na legislação tributária estadual, hipóteses de emissão de nota fiscal em que não há circulação de mercadoria, como exemplo pode-se mencionar o disposto no artigo 1° do Livro III do RICMS-RJ/00</w:t>
      </w:r>
      <w:r>
        <w:rPr>
          <w:rStyle w:val="Refdenotaderodap"/>
          <w:rFonts w:ascii="Times New Roman" w:hAnsi="Times New Roman" w:cs="Times New Roman"/>
        </w:rPr>
        <w:footnoteReference w:id="3"/>
      </w:r>
      <w:r w:rsidR="009371CE" w:rsidRPr="009371CE">
        <w:rPr>
          <w:rFonts w:ascii="Times New Roman" w:hAnsi="Times New Roman" w:cs="Times New Roman"/>
        </w:rPr>
        <w:t>, que trata da compensação de saldos credores e devedores entre estabelecimentos do mesmo sujeito passivo localizados no estado.</w:t>
      </w:r>
    </w:p>
    <w:p w:rsidR="009371CE" w:rsidRDefault="005B38F6" w:rsidP="008E02B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Superadas estas considerações, é imprescindível mencionar a necessidade de observância do disposto no artigo 19 do Anexo I da Parte II da </w:t>
      </w:r>
      <w:r w:rsidRPr="005B38F6">
        <w:rPr>
          <w:rFonts w:ascii="Times New Roman" w:hAnsi="Times New Roman" w:cs="Times New Roman"/>
        </w:rPr>
        <w:t>Resolução SEFAZ nº 720/14</w:t>
      </w:r>
      <w:r>
        <w:rPr>
          <w:rFonts w:ascii="Times New Roman" w:hAnsi="Times New Roman" w:cs="Times New Roman"/>
        </w:rPr>
        <w:t>, especialmente em relação ao seu §3°,</w:t>
      </w:r>
      <w:r w:rsidR="00A509C6">
        <w:rPr>
          <w:rFonts w:ascii="Times New Roman" w:hAnsi="Times New Roman" w:cs="Times New Roman"/>
        </w:rPr>
        <w:t xml:space="preserve"> quando da necessidade de transferir os saldos porventura existentes na incorporada.</w:t>
      </w:r>
    </w:p>
    <w:p w:rsidR="005B38F6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B38F6">
        <w:rPr>
          <w:rFonts w:ascii="Times New Roman" w:hAnsi="Times New Roman" w:cs="Times New Roman"/>
          <w:sz w:val="20"/>
        </w:rPr>
        <w:t xml:space="preserve">Art. 19. Nos casos de fusão, </w:t>
      </w:r>
      <w:r w:rsidRPr="00A509C6">
        <w:rPr>
          <w:rFonts w:ascii="Times New Roman" w:hAnsi="Times New Roman" w:cs="Times New Roman"/>
          <w:b/>
          <w:sz w:val="20"/>
          <w:u w:val="single"/>
        </w:rPr>
        <w:t>incorporação</w:t>
      </w:r>
      <w:r w:rsidRPr="005B38F6">
        <w:rPr>
          <w:rFonts w:ascii="Times New Roman" w:hAnsi="Times New Roman" w:cs="Times New Roman"/>
          <w:sz w:val="20"/>
        </w:rPr>
        <w:t xml:space="preserve"> ou cisão de empresas, deverá ser solicitada:</w:t>
      </w:r>
    </w:p>
    <w:p w:rsidR="005B38F6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B38F6">
        <w:rPr>
          <w:rFonts w:ascii="Times New Roman" w:hAnsi="Times New Roman" w:cs="Times New Roman"/>
          <w:sz w:val="20"/>
        </w:rPr>
        <w:t xml:space="preserve">I - a baixa da inscrição estadual dos estabelecimentos extintos em razão da fusão, incorporação ou cisão, observado o disposto no art. 46 deste Anexo, </w:t>
      </w:r>
      <w:proofErr w:type="gramStart"/>
      <w:r w:rsidRPr="005B38F6">
        <w:rPr>
          <w:rFonts w:ascii="Times New Roman" w:hAnsi="Times New Roman" w:cs="Times New Roman"/>
          <w:sz w:val="20"/>
        </w:rPr>
        <w:t>sob pena</w:t>
      </w:r>
      <w:proofErr w:type="gramEnd"/>
      <w:r w:rsidRPr="005B38F6">
        <w:rPr>
          <w:rFonts w:ascii="Times New Roman" w:hAnsi="Times New Roman" w:cs="Times New Roman"/>
          <w:sz w:val="20"/>
        </w:rPr>
        <w:t xml:space="preserve"> de impedimento da inscrição estadual nos termos do inciso I, “b”, do caput do art. 55 deste Anexo;</w:t>
      </w:r>
    </w:p>
    <w:p w:rsidR="005B38F6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B38F6">
        <w:rPr>
          <w:rFonts w:ascii="Times New Roman" w:hAnsi="Times New Roman" w:cs="Times New Roman"/>
          <w:sz w:val="20"/>
        </w:rPr>
        <w:t>II - nova inscrição estadual para os estabelecimentos da empresa sucessora, resultantes do processo de fusão, incorporação ou cisão.</w:t>
      </w:r>
    </w:p>
    <w:p w:rsidR="005B38F6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B38F6">
        <w:rPr>
          <w:rFonts w:ascii="Times New Roman" w:hAnsi="Times New Roman" w:cs="Times New Roman"/>
          <w:sz w:val="20"/>
        </w:rPr>
        <w:t>§ 1.º A baixa de que trata o inciso I do caput deste artigo deverá ser solicitada por representante da empresa sucessora.</w:t>
      </w:r>
    </w:p>
    <w:p w:rsidR="005B38F6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B38F6">
        <w:rPr>
          <w:rFonts w:ascii="Times New Roman" w:hAnsi="Times New Roman" w:cs="Times New Roman"/>
          <w:sz w:val="20"/>
        </w:rPr>
        <w:t>§ 2.º Será considerada como data do encerramento das atividades dos estabelecimentos sucedidos a do registro, no órgão competente, do ato de incorporação, fusão ou cisão.</w:t>
      </w:r>
    </w:p>
    <w:p w:rsidR="005B38F6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5B38F6">
        <w:rPr>
          <w:rFonts w:ascii="Times New Roman" w:hAnsi="Times New Roman" w:cs="Times New Roman"/>
          <w:b/>
          <w:sz w:val="20"/>
          <w:u w:val="single"/>
        </w:rPr>
        <w:t>§ 3.º Quando, no intervalo de tempo entre a análise do pedido da nova inscrição e o pedido de baixa da inscrição anterior, for necessária a coexistência de duas inscrições na condição de habilitadas no mesmo local em razão da reorganização societária, o fato deverá ser comunicado previamente à repartição fiscal, a fim de ser viabilizado o deferimento da nova inscrição.</w:t>
      </w:r>
    </w:p>
    <w:p w:rsidR="009371CE" w:rsidRPr="005B38F6" w:rsidRDefault="005B38F6" w:rsidP="005B38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B38F6">
        <w:rPr>
          <w:rFonts w:ascii="Times New Roman" w:hAnsi="Times New Roman" w:cs="Times New Roman"/>
          <w:sz w:val="20"/>
        </w:rPr>
        <w:t>§ 4.º O descumprimento da obrigação prevista no inciso I do caput deste artigo acarretará impedimento da inscrição do estabelecimento principal da empresa sucessora, nos termos do inciso XVII do caput do art. 55 deste Anexo.</w:t>
      </w:r>
      <w:r>
        <w:rPr>
          <w:rFonts w:ascii="Times New Roman" w:hAnsi="Times New Roman" w:cs="Times New Roman"/>
          <w:sz w:val="20"/>
        </w:rPr>
        <w:t xml:space="preserve"> (grifos nossos)</w:t>
      </w:r>
    </w:p>
    <w:p w:rsidR="00A509C6" w:rsidRPr="0044157F" w:rsidRDefault="00A509C6" w:rsidP="00EF0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2519DC" w:rsidRDefault="00B17E86" w:rsidP="00EF0A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Nesse sentido, em resposta </w:t>
      </w:r>
      <w:r w:rsidR="00642FBD">
        <w:rPr>
          <w:rFonts w:ascii="Times New Roman" w:hAnsi="Times New Roman" w:cs="Times New Roman"/>
        </w:rPr>
        <w:t xml:space="preserve">aos três primeiros </w:t>
      </w:r>
      <w:r>
        <w:rPr>
          <w:rFonts w:ascii="Times New Roman" w:hAnsi="Times New Roman" w:cs="Times New Roman"/>
        </w:rPr>
        <w:t>questionamento</w:t>
      </w:r>
      <w:r w:rsidR="00642F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apresentado</w:t>
      </w:r>
      <w:r w:rsidR="00642F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="00642FBD">
        <w:rPr>
          <w:rFonts w:ascii="Times New Roman" w:hAnsi="Times New Roman" w:cs="Times New Roman"/>
        </w:rPr>
        <w:t xml:space="preserve">entendemos que devem ser transferidos </w:t>
      </w:r>
      <w:r w:rsidR="00642FBD" w:rsidRPr="001B06CE">
        <w:rPr>
          <w:rFonts w:ascii="Times New Roman" w:hAnsi="Times New Roman" w:cs="Times New Roman"/>
          <w:b/>
          <w:u w:val="single"/>
        </w:rPr>
        <w:t>todos os saldos</w:t>
      </w:r>
      <w:r w:rsidR="00642FBD">
        <w:rPr>
          <w:rFonts w:ascii="Times New Roman" w:hAnsi="Times New Roman" w:cs="Times New Roman"/>
        </w:rPr>
        <w:t xml:space="preserve"> porventura existentes em </w:t>
      </w:r>
      <w:r w:rsidR="00642FBD" w:rsidRPr="001B06CE">
        <w:rPr>
          <w:rFonts w:ascii="Times New Roman" w:hAnsi="Times New Roman" w:cs="Times New Roman"/>
          <w:b/>
          <w:u w:val="single"/>
        </w:rPr>
        <w:t>todos os livros fiscais</w:t>
      </w:r>
      <w:r w:rsidR="00642FBD">
        <w:rPr>
          <w:rFonts w:ascii="Times New Roman" w:hAnsi="Times New Roman" w:cs="Times New Roman"/>
        </w:rPr>
        <w:t xml:space="preserve"> da </w:t>
      </w:r>
      <w:r w:rsidR="003C74CE">
        <w:rPr>
          <w:rFonts w:ascii="Times New Roman" w:hAnsi="Times New Roman" w:cs="Times New Roman"/>
        </w:rPr>
        <w:t>i</w:t>
      </w:r>
      <w:r w:rsidR="00642FBD">
        <w:rPr>
          <w:rFonts w:ascii="Times New Roman" w:hAnsi="Times New Roman" w:cs="Times New Roman"/>
        </w:rPr>
        <w:t xml:space="preserve">ncorporada, tendo em vista </w:t>
      </w:r>
      <w:proofErr w:type="gramStart"/>
      <w:r w:rsidR="00642FBD">
        <w:rPr>
          <w:rFonts w:ascii="Times New Roman" w:hAnsi="Times New Roman" w:cs="Times New Roman"/>
        </w:rPr>
        <w:t>a</w:t>
      </w:r>
      <w:proofErr w:type="gramEnd"/>
      <w:r w:rsidR="00642FBD">
        <w:rPr>
          <w:rFonts w:ascii="Times New Roman" w:hAnsi="Times New Roman" w:cs="Times New Roman"/>
        </w:rPr>
        <w:t xml:space="preserve"> assunção, pelo estabelecimento sucessor, de todos os direitos e ob</w:t>
      </w:r>
      <w:r w:rsidR="001B06CE">
        <w:rPr>
          <w:rFonts w:ascii="Times New Roman" w:hAnsi="Times New Roman" w:cs="Times New Roman"/>
        </w:rPr>
        <w:t>rigações do referido</w:t>
      </w:r>
      <w:r w:rsidR="00642FBD">
        <w:rPr>
          <w:rFonts w:ascii="Times New Roman" w:hAnsi="Times New Roman" w:cs="Times New Roman"/>
        </w:rPr>
        <w:t xml:space="preserve"> </w:t>
      </w:r>
      <w:r w:rsidR="001B06CE">
        <w:rPr>
          <w:rFonts w:ascii="Times New Roman" w:hAnsi="Times New Roman" w:cs="Times New Roman"/>
        </w:rPr>
        <w:t>estabelecimento</w:t>
      </w:r>
      <w:r w:rsidR="00642FBD">
        <w:rPr>
          <w:rFonts w:ascii="Times New Roman" w:hAnsi="Times New Roman" w:cs="Times New Roman"/>
        </w:rPr>
        <w:t xml:space="preserve">. Para tanto, </w:t>
      </w:r>
      <w:r w:rsidR="00A509C6" w:rsidRPr="00A509C6">
        <w:rPr>
          <w:rFonts w:ascii="Times New Roman" w:hAnsi="Times New Roman" w:cs="Times New Roman"/>
          <w:b/>
          <w:u w:val="single"/>
        </w:rPr>
        <w:t>deve ser emitida nota fisca</w:t>
      </w:r>
      <w:r w:rsidR="00A509C6" w:rsidRPr="00B516C8">
        <w:rPr>
          <w:rFonts w:ascii="Times New Roman" w:hAnsi="Times New Roman" w:cs="Times New Roman"/>
          <w:b/>
          <w:u w:val="single"/>
        </w:rPr>
        <w:t xml:space="preserve">l, no período a que se refere o §3° do </w:t>
      </w:r>
      <w:r w:rsidR="00B516C8" w:rsidRPr="00B516C8">
        <w:rPr>
          <w:rFonts w:ascii="Times New Roman" w:hAnsi="Times New Roman" w:cs="Times New Roman"/>
          <w:b/>
          <w:u w:val="single"/>
        </w:rPr>
        <w:t>mencionado</w:t>
      </w:r>
      <w:r w:rsidR="00A509C6" w:rsidRPr="00B516C8">
        <w:rPr>
          <w:rFonts w:ascii="Times New Roman" w:hAnsi="Times New Roman" w:cs="Times New Roman"/>
          <w:b/>
          <w:u w:val="single"/>
        </w:rPr>
        <w:t xml:space="preserve"> artigo 19, para cada saldo a ser transferido.</w:t>
      </w:r>
      <w:r w:rsidR="00B516C8" w:rsidRPr="00B516C8">
        <w:rPr>
          <w:rFonts w:ascii="Times New Roman" w:hAnsi="Times New Roman" w:cs="Times New Roman"/>
          <w:b/>
          <w:u w:val="single"/>
        </w:rPr>
        <w:t xml:space="preserve"> Em seguida, </w:t>
      </w:r>
      <w:r w:rsidR="00642FBD" w:rsidRPr="00B516C8">
        <w:rPr>
          <w:rFonts w:ascii="Times New Roman" w:hAnsi="Times New Roman" w:cs="Times New Roman"/>
          <w:b/>
          <w:u w:val="single"/>
        </w:rPr>
        <w:t xml:space="preserve">devem ser </w:t>
      </w:r>
      <w:r w:rsidR="00642FBD" w:rsidRPr="00B516C8">
        <w:rPr>
          <w:rFonts w:ascii="Times New Roman" w:hAnsi="Times New Roman" w:cs="Times New Roman"/>
          <w:b/>
          <w:u w:val="single"/>
        </w:rPr>
        <w:lastRenderedPageBreak/>
        <w:t xml:space="preserve">realizados </w:t>
      </w:r>
      <w:r w:rsidR="00B516C8" w:rsidRPr="00B516C8">
        <w:rPr>
          <w:rFonts w:ascii="Times New Roman" w:hAnsi="Times New Roman" w:cs="Times New Roman"/>
          <w:b/>
          <w:u w:val="single"/>
        </w:rPr>
        <w:t xml:space="preserve">os correspondentes </w:t>
      </w:r>
      <w:r w:rsidR="00642FBD" w:rsidRPr="00B516C8">
        <w:rPr>
          <w:rFonts w:ascii="Times New Roman" w:hAnsi="Times New Roman" w:cs="Times New Roman"/>
          <w:b/>
          <w:u w:val="single"/>
        </w:rPr>
        <w:t>regis</w:t>
      </w:r>
      <w:r w:rsidR="001B06CE" w:rsidRPr="00B516C8">
        <w:rPr>
          <w:rFonts w:ascii="Times New Roman" w:hAnsi="Times New Roman" w:cs="Times New Roman"/>
          <w:b/>
          <w:u w:val="single"/>
        </w:rPr>
        <w:t xml:space="preserve">tros na EFD-ICMS/IPI, </w:t>
      </w:r>
      <w:r w:rsidR="00B516C8" w:rsidRPr="00B516C8">
        <w:rPr>
          <w:rFonts w:ascii="Times New Roman" w:hAnsi="Times New Roman" w:cs="Times New Roman"/>
          <w:b/>
          <w:u w:val="single"/>
        </w:rPr>
        <w:t xml:space="preserve">com a respectiva informação no Registro de Utilização de Documentos Fiscais e Termos de Ocorrências (RUDFTO), modelo </w:t>
      </w:r>
      <w:proofErr w:type="gramStart"/>
      <w:r w:rsidR="00B516C8" w:rsidRPr="00B516C8">
        <w:rPr>
          <w:rFonts w:ascii="Times New Roman" w:hAnsi="Times New Roman" w:cs="Times New Roman"/>
          <w:b/>
          <w:u w:val="single"/>
        </w:rPr>
        <w:t>6</w:t>
      </w:r>
      <w:proofErr w:type="gramEnd"/>
      <w:r w:rsidR="001B06CE">
        <w:rPr>
          <w:rFonts w:ascii="Times New Roman" w:hAnsi="Times New Roman" w:cs="Times New Roman"/>
        </w:rPr>
        <w:t>.</w:t>
      </w:r>
    </w:p>
    <w:p w:rsidR="001B06CE" w:rsidRDefault="001B06CE" w:rsidP="00EF0A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relação aos outros quatro questionamentos formulados, relativos ao cumprimento de obrigação acessória, </w:t>
      </w:r>
      <w:r w:rsidR="003C74CE">
        <w:rPr>
          <w:rFonts w:ascii="Times New Roman" w:hAnsi="Times New Roman" w:cs="Times New Roman"/>
        </w:rPr>
        <w:t xml:space="preserve">está correto o entendimento da consulente, no sentido de serem continuadas as operações inicialmente realizadas pela incorporada e “finalizadas” em nome da consulente (sucessora), devendo ser informada a sucessão societária no campo “informações complementares” da nota fiscal e ser informada a operação no </w:t>
      </w:r>
      <w:r w:rsidR="003C74CE" w:rsidRPr="003C74CE">
        <w:rPr>
          <w:rFonts w:ascii="Times New Roman" w:hAnsi="Times New Roman" w:cs="Times New Roman"/>
        </w:rPr>
        <w:t xml:space="preserve">Registro de Utilização de Documentos Fiscais e Termos de Ocorrências (RUDFTO), modelo </w:t>
      </w:r>
      <w:proofErr w:type="gramStart"/>
      <w:r w:rsidR="003C74CE" w:rsidRPr="003C74CE">
        <w:rPr>
          <w:rFonts w:ascii="Times New Roman" w:hAnsi="Times New Roman" w:cs="Times New Roman"/>
        </w:rPr>
        <w:t>6</w:t>
      </w:r>
      <w:proofErr w:type="gramEnd"/>
      <w:r w:rsidR="003C74CE">
        <w:rPr>
          <w:rFonts w:ascii="Times New Roman" w:hAnsi="Times New Roman" w:cs="Times New Roman"/>
        </w:rPr>
        <w:t>.</w:t>
      </w:r>
    </w:p>
    <w:p w:rsidR="00C02B87" w:rsidRPr="0044157F" w:rsidRDefault="00C02B87" w:rsidP="001D4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44157F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2602BE" w:rsidRPr="003C74CE" w:rsidRDefault="002602BE" w:rsidP="003C74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 xml:space="preserve">Considerando o exposto, </w:t>
      </w:r>
      <w:r w:rsidR="003C74CE">
        <w:rPr>
          <w:rFonts w:ascii="Times New Roman" w:hAnsi="Times New Roman" w:cs="Times New Roman"/>
        </w:rPr>
        <w:t xml:space="preserve">(1) </w:t>
      </w:r>
      <w:r w:rsidR="003C74CE" w:rsidRPr="003C74CE">
        <w:rPr>
          <w:rFonts w:ascii="Times New Roman" w:hAnsi="Times New Roman" w:cs="Times New Roman"/>
          <w:b/>
          <w:u w:val="single"/>
        </w:rPr>
        <w:t xml:space="preserve">em resposta aos três primeiros questionamentos apresentados, entendemos que devem ser transferidos </w:t>
      </w:r>
      <w:r w:rsidR="003C74CE" w:rsidRPr="003C74CE">
        <w:rPr>
          <w:rFonts w:ascii="Times New Roman" w:hAnsi="Times New Roman" w:cs="Times New Roman"/>
          <w:b/>
          <w:i/>
          <w:u w:val="single"/>
        </w:rPr>
        <w:t>todos os saldos</w:t>
      </w:r>
      <w:r w:rsidR="003C74CE" w:rsidRPr="003C74CE">
        <w:rPr>
          <w:rFonts w:ascii="Times New Roman" w:hAnsi="Times New Roman" w:cs="Times New Roman"/>
          <w:b/>
          <w:u w:val="single"/>
        </w:rPr>
        <w:t xml:space="preserve"> porventura existentes em </w:t>
      </w:r>
      <w:r w:rsidR="003C74CE" w:rsidRPr="003C74CE">
        <w:rPr>
          <w:rFonts w:ascii="Times New Roman" w:hAnsi="Times New Roman" w:cs="Times New Roman"/>
          <w:b/>
          <w:i/>
          <w:u w:val="single"/>
        </w:rPr>
        <w:t>todos os livros fiscais</w:t>
      </w:r>
      <w:r w:rsidR="003C74CE" w:rsidRPr="003C74CE">
        <w:rPr>
          <w:rFonts w:ascii="Times New Roman" w:hAnsi="Times New Roman" w:cs="Times New Roman"/>
          <w:b/>
          <w:u w:val="single"/>
        </w:rPr>
        <w:t xml:space="preserve"> da </w:t>
      </w:r>
      <w:r w:rsidR="003C74CE">
        <w:rPr>
          <w:rFonts w:ascii="Times New Roman" w:hAnsi="Times New Roman" w:cs="Times New Roman"/>
          <w:b/>
          <w:u w:val="single"/>
        </w:rPr>
        <w:t>i</w:t>
      </w:r>
      <w:r w:rsidR="003C74CE" w:rsidRPr="003C74CE">
        <w:rPr>
          <w:rFonts w:ascii="Times New Roman" w:hAnsi="Times New Roman" w:cs="Times New Roman"/>
          <w:b/>
          <w:u w:val="single"/>
        </w:rPr>
        <w:t xml:space="preserve">ncorporada, tendo em vista </w:t>
      </w:r>
      <w:proofErr w:type="gramStart"/>
      <w:r w:rsidR="003C74CE" w:rsidRPr="003C74CE">
        <w:rPr>
          <w:rFonts w:ascii="Times New Roman" w:hAnsi="Times New Roman" w:cs="Times New Roman"/>
          <w:b/>
          <w:u w:val="single"/>
        </w:rPr>
        <w:t>a</w:t>
      </w:r>
      <w:proofErr w:type="gramEnd"/>
      <w:r w:rsidR="003C74CE" w:rsidRPr="003C74CE">
        <w:rPr>
          <w:rFonts w:ascii="Times New Roman" w:hAnsi="Times New Roman" w:cs="Times New Roman"/>
          <w:b/>
          <w:u w:val="single"/>
        </w:rPr>
        <w:t xml:space="preserve"> assunção, pelo estabelecimento sucessor, de todos os direitos e obrigações do referido </w:t>
      </w:r>
      <w:r w:rsidR="003C74CE" w:rsidRPr="00822FC1">
        <w:rPr>
          <w:rFonts w:ascii="Times New Roman" w:hAnsi="Times New Roman" w:cs="Times New Roman"/>
          <w:b/>
          <w:u w:val="single"/>
        </w:rPr>
        <w:t xml:space="preserve">estabelecimento. Para tanto, </w:t>
      </w:r>
      <w:r w:rsidR="00822FC1" w:rsidRPr="00822FC1">
        <w:rPr>
          <w:rFonts w:ascii="Times New Roman" w:hAnsi="Times New Roman" w:cs="Times New Roman"/>
          <w:b/>
          <w:u w:val="single"/>
        </w:rPr>
        <w:t>deve ser emitida nota fiscal, no período a que se refere o §3° do artigo 19 do Anexo I da Parte II da Resolução SEFAZ nº 720/14</w:t>
      </w:r>
      <w:r w:rsidR="00822FC1" w:rsidRPr="00B516C8">
        <w:rPr>
          <w:rFonts w:ascii="Times New Roman" w:hAnsi="Times New Roman" w:cs="Times New Roman"/>
          <w:b/>
          <w:u w:val="single"/>
        </w:rPr>
        <w:t xml:space="preserve">, para cada saldo a ser transferido. Em seguida, devem ser realizados os correspondentes registros na EFD-ICMS/IPI, com a respectiva informação no Registro de Utilização de Documentos Fiscais e Termos de Ocorrências (RUDFTO), modelo </w:t>
      </w:r>
      <w:proofErr w:type="gramStart"/>
      <w:r w:rsidR="00822FC1" w:rsidRPr="00B516C8">
        <w:rPr>
          <w:rFonts w:ascii="Times New Roman" w:hAnsi="Times New Roman" w:cs="Times New Roman"/>
          <w:b/>
          <w:u w:val="single"/>
        </w:rPr>
        <w:t>6</w:t>
      </w:r>
      <w:proofErr w:type="gramEnd"/>
      <w:r w:rsidR="003C74CE" w:rsidRPr="003C74CE">
        <w:rPr>
          <w:rFonts w:ascii="Times New Roman" w:hAnsi="Times New Roman" w:cs="Times New Roman"/>
          <w:b/>
          <w:u w:val="single"/>
        </w:rPr>
        <w:t>; (2) em relação aos outros quatro questionamentos formulados, relativos ao cumprimento de obrigação acessória, está correto o entendimento da consulente, no sentido de serem continuadas as operações inicialmente realizadas pela incorporada e “finalizadas” em nome da consulente (sucessora), devendo ser informada a sucessão societária no campo “informações complementares” da nota fiscal e ser informada a operação no Registro de Utilização de Documentos Fiscais e Termos de Ocorrências (RUDFTO), modelo 6</w:t>
      </w:r>
      <w:r w:rsidR="002F1636" w:rsidRPr="003C74CE">
        <w:rPr>
          <w:rFonts w:ascii="Times New Roman" w:hAnsi="Times New Roman" w:cs="Times New Roman"/>
          <w:b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44157F">
        <w:rPr>
          <w:rFonts w:ascii="Times New Roman" w:hAnsi="Times New Roman" w:cs="Times New Roman"/>
        </w:rPr>
        <w:t>8</w:t>
      </w:r>
      <w:proofErr w:type="gramEnd"/>
      <w:r w:rsidR="003C74CE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3C74CE">
        <w:rPr>
          <w:rFonts w:ascii="Times New Roman" w:hAnsi="Times New Roman" w:cs="Times New Roman"/>
        </w:rPr>
        <w:t>agosto</w:t>
      </w:r>
      <w:r w:rsidR="00544697">
        <w:rPr>
          <w:rFonts w:ascii="Times New Roman" w:hAnsi="Times New Roman" w:cs="Times New Roman"/>
        </w:rPr>
        <w:t xml:space="preserve"> de 201</w:t>
      </w:r>
      <w:r w:rsidR="00A73758">
        <w:rPr>
          <w:rFonts w:ascii="Times New Roman" w:hAnsi="Times New Roman" w:cs="Times New Roman"/>
        </w:rPr>
        <w:t>6</w:t>
      </w:r>
      <w:r w:rsidR="003C2B81">
        <w:rPr>
          <w:rFonts w:ascii="Times New Roman" w:hAnsi="Times New Roman" w:cs="Times New Roman"/>
        </w:rPr>
        <w:t>.</w:t>
      </w:r>
    </w:p>
    <w:sectPr w:rsidR="00487A3A" w:rsidSect="00435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AF" w:rsidRDefault="007D43AF" w:rsidP="00546EC0">
      <w:pPr>
        <w:spacing w:after="0" w:line="240" w:lineRule="auto"/>
      </w:pPr>
      <w:r>
        <w:separator/>
      </w:r>
    </w:p>
  </w:endnote>
  <w:endnote w:type="continuationSeparator" w:id="0">
    <w:p w:rsidR="007D43AF" w:rsidRDefault="007D43AF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4" w:rsidRDefault="004355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4" w:rsidRDefault="004355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4" w:rsidRDefault="004355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AF" w:rsidRDefault="007D43AF" w:rsidP="00546EC0">
      <w:pPr>
        <w:spacing w:after="0" w:line="240" w:lineRule="auto"/>
      </w:pPr>
      <w:r>
        <w:separator/>
      </w:r>
    </w:p>
  </w:footnote>
  <w:footnote w:type="continuationSeparator" w:id="0">
    <w:p w:rsidR="007D43AF" w:rsidRDefault="007D43AF" w:rsidP="00546EC0">
      <w:pPr>
        <w:spacing w:after="0" w:line="240" w:lineRule="auto"/>
      </w:pPr>
      <w:r>
        <w:continuationSeparator/>
      </w:r>
    </w:p>
  </w:footnote>
  <w:footnote w:id="1">
    <w:p w:rsidR="00233A2F" w:rsidRPr="00BA247D" w:rsidRDefault="00233A2F" w:rsidP="00233A2F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BA247D">
        <w:rPr>
          <w:rStyle w:val="Refdenotaderodap"/>
          <w:sz w:val="16"/>
          <w:szCs w:val="16"/>
        </w:rPr>
        <w:footnoteRef/>
      </w:r>
      <w:r w:rsidRPr="00BA247D">
        <w:rPr>
          <w:sz w:val="16"/>
          <w:szCs w:val="16"/>
        </w:rPr>
        <w:t xml:space="preserve"> </w:t>
      </w:r>
      <w:r w:rsidRPr="00BA247D">
        <w:rPr>
          <w:rFonts w:ascii="Times New Roman" w:hAnsi="Times New Roman" w:cs="Times New Roman"/>
          <w:sz w:val="16"/>
          <w:szCs w:val="16"/>
        </w:rPr>
        <w:t>“</w:t>
      </w:r>
      <w:r w:rsidRPr="00BA247D">
        <w:rPr>
          <w:rFonts w:ascii="Times New Roman" w:hAnsi="Times New Roman" w:cs="Times New Roman"/>
          <w:b/>
          <w:sz w:val="16"/>
          <w:szCs w:val="16"/>
        </w:rPr>
        <w:t>Art. 3</w:t>
      </w:r>
      <w:r w:rsidRPr="00BA247D">
        <w:rPr>
          <w:rFonts w:ascii="Times New Roman" w:hAnsi="Times New Roman" w:cs="Times New Roman"/>
          <w:sz w:val="16"/>
          <w:szCs w:val="16"/>
        </w:rPr>
        <w:t xml:space="preserve">º Recebida </w:t>
      </w:r>
      <w:proofErr w:type="gramStart"/>
      <w:r w:rsidRPr="00BA247D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BA247D">
        <w:rPr>
          <w:rFonts w:ascii="Times New Roman" w:hAnsi="Times New Roman" w:cs="Times New Roman"/>
          <w:sz w:val="16"/>
          <w:szCs w:val="16"/>
        </w:rPr>
        <w:t xml:space="preserve"> consulta, a </w:t>
      </w:r>
      <w:r w:rsidRPr="00BA247D">
        <w:rPr>
          <w:rFonts w:ascii="Times New Roman" w:hAnsi="Times New Roman" w:cs="Times New Roman"/>
          <w:b/>
          <w:sz w:val="16"/>
          <w:szCs w:val="16"/>
          <w:u w:val="single"/>
        </w:rPr>
        <w:t>autoridade fiscal</w:t>
      </w:r>
      <w:r w:rsidRPr="00BA247D">
        <w:rPr>
          <w:rFonts w:ascii="Times New Roman" w:hAnsi="Times New Roman" w:cs="Times New Roman"/>
          <w:sz w:val="16"/>
          <w:szCs w:val="16"/>
        </w:rPr>
        <w:t xml:space="preserve"> determinará a sua autuação sob a forma de processo administrativo tributário e </w:t>
      </w:r>
      <w:r w:rsidRPr="00BA247D">
        <w:rPr>
          <w:rFonts w:ascii="Times New Roman" w:hAnsi="Times New Roman" w:cs="Times New Roman"/>
          <w:b/>
          <w:sz w:val="16"/>
          <w:szCs w:val="16"/>
          <w:u w:val="single"/>
        </w:rPr>
        <w:t>informará</w:t>
      </w:r>
      <w:r w:rsidRPr="00BA247D">
        <w:rPr>
          <w:rFonts w:ascii="Times New Roman" w:hAnsi="Times New Roman" w:cs="Times New Roman"/>
          <w:sz w:val="16"/>
          <w:szCs w:val="16"/>
        </w:rPr>
        <w:t>:</w:t>
      </w:r>
    </w:p>
    <w:p w:rsidR="00233A2F" w:rsidRPr="00BA247D" w:rsidRDefault="00233A2F" w:rsidP="00233A2F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BA247D">
        <w:rPr>
          <w:rFonts w:ascii="Times New Roman" w:hAnsi="Times New Roman" w:cs="Times New Roman"/>
          <w:sz w:val="16"/>
          <w:szCs w:val="16"/>
        </w:rPr>
        <w:t>I – se foi iniciada e ainda não concluída alguma fiscalização junto ao consulente;</w:t>
      </w:r>
    </w:p>
    <w:p w:rsidR="00233A2F" w:rsidRPr="00BA247D" w:rsidRDefault="00233A2F" w:rsidP="009371CE">
      <w:pPr>
        <w:spacing w:after="0" w:line="240" w:lineRule="auto"/>
        <w:jc w:val="both"/>
        <w:rPr>
          <w:sz w:val="16"/>
          <w:szCs w:val="16"/>
        </w:rPr>
      </w:pPr>
      <w:r w:rsidRPr="00BA247D">
        <w:rPr>
          <w:rFonts w:ascii="Times New Roman" w:hAnsi="Times New Roman" w:cs="Times New Roman"/>
          <w:sz w:val="16"/>
          <w:szCs w:val="16"/>
        </w:rPr>
        <w:t xml:space="preserve">II – se o consulente sofreu alguma autuação, ainda pendente de decisão final cujo fundamento esteja direta ou indiretamente relacionado às dúvidas suscitadas, juntando-se ao processo de consulta, em caso positivo, uma cópia do respectivo auto de </w:t>
      </w:r>
      <w:proofErr w:type="gramStart"/>
      <w:r w:rsidRPr="00BA247D">
        <w:rPr>
          <w:rFonts w:ascii="Times New Roman" w:hAnsi="Times New Roman" w:cs="Times New Roman"/>
          <w:sz w:val="16"/>
          <w:szCs w:val="16"/>
        </w:rPr>
        <w:t>infração.</w:t>
      </w:r>
      <w:proofErr w:type="gramEnd"/>
      <w:r w:rsidRPr="00BA247D">
        <w:rPr>
          <w:rFonts w:ascii="Times New Roman" w:hAnsi="Times New Roman" w:cs="Times New Roman"/>
          <w:sz w:val="16"/>
          <w:szCs w:val="16"/>
        </w:rPr>
        <w:t>”(grifos nossos)</w:t>
      </w:r>
    </w:p>
  </w:footnote>
  <w:footnote w:id="2">
    <w:p w:rsidR="000855F6" w:rsidRPr="00BA247D" w:rsidRDefault="000855F6" w:rsidP="009371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47D">
        <w:rPr>
          <w:rStyle w:val="Refdenotaderodap"/>
          <w:sz w:val="16"/>
          <w:szCs w:val="16"/>
        </w:rPr>
        <w:footnoteRef/>
      </w:r>
      <w:r w:rsidRPr="00BA247D">
        <w:rPr>
          <w:sz w:val="16"/>
          <w:szCs w:val="16"/>
        </w:rPr>
        <w:t xml:space="preserve"> </w:t>
      </w:r>
      <w:r w:rsidRPr="00BA247D">
        <w:rPr>
          <w:rFonts w:ascii="Times New Roman" w:hAnsi="Times New Roman" w:cs="Times New Roman"/>
          <w:sz w:val="16"/>
          <w:szCs w:val="16"/>
        </w:rPr>
        <w:t>“</w:t>
      </w:r>
      <w:r w:rsidRPr="00BA247D">
        <w:rPr>
          <w:rFonts w:ascii="Times New Roman" w:hAnsi="Times New Roman" w:cs="Times New Roman"/>
          <w:b/>
          <w:sz w:val="16"/>
          <w:szCs w:val="16"/>
        </w:rPr>
        <w:t>Art. 151</w:t>
      </w:r>
      <w:r w:rsidRPr="00BA247D">
        <w:rPr>
          <w:rFonts w:ascii="Times New Roman" w:hAnsi="Times New Roman" w:cs="Times New Roman"/>
          <w:sz w:val="16"/>
          <w:szCs w:val="16"/>
        </w:rPr>
        <w:t xml:space="preserve">. </w:t>
      </w:r>
      <w:r w:rsidRPr="00BA247D">
        <w:rPr>
          <w:rFonts w:ascii="Times New Roman" w:hAnsi="Times New Roman" w:cs="Times New Roman"/>
          <w:b/>
          <w:sz w:val="16"/>
          <w:szCs w:val="16"/>
        </w:rPr>
        <w:t xml:space="preserve">A consulta </w:t>
      </w:r>
      <w:r w:rsidRPr="00BA247D">
        <w:rPr>
          <w:rFonts w:ascii="Times New Roman" w:hAnsi="Times New Roman" w:cs="Times New Roman"/>
          <w:b/>
          <w:sz w:val="16"/>
          <w:szCs w:val="16"/>
          <w:u w:val="single"/>
        </w:rPr>
        <w:t>deverá</w:t>
      </w:r>
      <w:r w:rsidRPr="00BA247D">
        <w:rPr>
          <w:rFonts w:ascii="Times New Roman" w:hAnsi="Times New Roman" w:cs="Times New Roman"/>
          <w:b/>
          <w:sz w:val="16"/>
          <w:szCs w:val="16"/>
        </w:rPr>
        <w:t xml:space="preserve"> ser formulada por escrito</w:t>
      </w:r>
      <w:r w:rsidRPr="00BA247D">
        <w:rPr>
          <w:rFonts w:ascii="Times New Roman" w:hAnsi="Times New Roman" w:cs="Times New Roman"/>
          <w:sz w:val="16"/>
          <w:szCs w:val="16"/>
        </w:rPr>
        <w:t xml:space="preserve">, observado o disposto na seção III do Capítulo I, </w:t>
      </w:r>
      <w:r w:rsidRPr="00BA247D">
        <w:rPr>
          <w:rFonts w:ascii="Times New Roman" w:hAnsi="Times New Roman" w:cs="Times New Roman"/>
          <w:b/>
          <w:sz w:val="16"/>
          <w:szCs w:val="16"/>
        </w:rPr>
        <w:t xml:space="preserve">e </w:t>
      </w:r>
      <w:proofErr w:type="gramStart"/>
      <w:r w:rsidRPr="00BA247D">
        <w:rPr>
          <w:rFonts w:ascii="Times New Roman" w:hAnsi="Times New Roman" w:cs="Times New Roman"/>
          <w:b/>
          <w:sz w:val="16"/>
          <w:szCs w:val="16"/>
        </w:rPr>
        <w:t>apresentada na repartição fiscal a que estiver jurisdicionado</w:t>
      </w:r>
      <w:proofErr w:type="gramEnd"/>
      <w:r w:rsidRPr="00BA247D">
        <w:rPr>
          <w:rFonts w:ascii="Times New Roman" w:hAnsi="Times New Roman" w:cs="Times New Roman"/>
          <w:b/>
          <w:sz w:val="16"/>
          <w:szCs w:val="16"/>
        </w:rPr>
        <w:t xml:space="preserve"> o consulente</w:t>
      </w:r>
      <w:r w:rsidRPr="00BA247D">
        <w:rPr>
          <w:rFonts w:ascii="Times New Roman" w:hAnsi="Times New Roman" w:cs="Times New Roman"/>
          <w:sz w:val="16"/>
          <w:szCs w:val="16"/>
        </w:rPr>
        <w:t>, devidamente acompanhada do comprovante de recolhimento da taxa a que se refere o item 12 do inciso III do Art. 107, do Decreto Lei n.º 5/75, com as alterações trazidas pela Lei n.º 2.879/97, quando for o caso.” (grifos nossos)</w:t>
      </w:r>
    </w:p>
    <w:p w:rsidR="000855F6" w:rsidRPr="00BA247D" w:rsidRDefault="000855F6" w:rsidP="009371CE">
      <w:pPr>
        <w:spacing w:after="0" w:line="240" w:lineRule="auto"/>
        <w:jc w:val="both"/>
        <w:rPr>
          <w:sz w:val="16"/>
          <w:szCs w:val="16"/>
        </w:rPr>
      </w:pPr>
    </w:p>
  </w:footnote>
  <w:footnote w:id="3">
    <w:p w:rsidR="005B38F6" w:rsidRPr="005B38F6" w:rsidRDefault="005B38F6" w:rsidP="005B38F6">
      <w:pPr>
        <w:pStyle w:val="Textodenotaderodap"/>
        <w:jc w:val="both"/>
        <w:rPr>
          <w:rFonts w:ascii="Times New Roman" w:hAnsi="Times New Roman" w:cs="Times New Roman"/>
          <w:sz w:val="16"/>
        </w:rPr>
      </w:pPr>
      <w:r w:rsidRPr="005B38F6">
        <w:rPr>
          <w:rStyle w:val="Refdenotaderodap"/>
          <w:rFonts w:cs="Times New Roman"/>
        </w:rPr>
        <w:footnoteRef/>
      </w:r>
      <w:r w:rsidRPr="005B38F6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5B38F6">
        <w:rPr>
          <w:rFonts w:ascii="Times New Roman" w:hAnsi="Times New Roman" w:cs="Times New Roman"/>
          <w:sz w:val="16"/>
        </w:rPr>
        <w:t>"</w:t>
      </w:r>
      <w:r w:rsidRPr="005B38F6">
        <w:rPr>
          <w:rFonts w:ascii="Times New Roman" w:hAnsi="Times New Roman" w:cs="Times New Roman"/>
          <w:b/>
          <w:sz w:val="16"/>
        </w:rPr>
        <w:t>Art. 1.º</w:t>
      </w:r>
      <w:r w:rsidRPr="005B38F6">
        <w:rPr>
          <w:rFonts w:ascii="Times New Roman" w:hAnsi="Times New Roman" w:cs="Times New Roman"/>
          <w:sz w:val="16"/>
        </w:rPr>
        <w:t xml:space="preserve"> Para a compensação de saldos credores e devedores entre estabelecimentos do mesmo sujeito passivo localizados no Estado, prevista nos §§ 8.º e 9.º, do artigo 26, do Livro I, o contribuinte deve emitir Nota Fiscal no último dia do período de apuração, contendo:</w:t>
      </w:r>
    </w:p>
    <w:p w:rsidR="005B38F6" w:rsidRPr="005B38F6" w:rsidRDefault="005B38F6" w:rsidP="005B38F6">
      <w:pPr>
        <w:pStyle w:val="Textodenotaderodap"/>
        <w:jc w:val="both"/>
        <w:rPr>
          <w:rFonts w:ascii="Times New Roman" w:hAnsi="Times New Roman" w:cs="Times New Roman"/>
          <w:sz w:val="16"/>
        </w:rPr>
      </w:pPr>
      <w:proofErr w:type="gramEnd"/>
      <w:r w:rsidRPr="005B38F6">
        <w:rPr>
          <w:rFonts w:ascii="Times New Roman" w:hAnsi="Times New Roman" w:cs="Times New Roman"/>
          <w:sz w:val="16"/>
        </w:rPr>
        <w:t>I - como natureza da operação: transferência de crédito;</w:t>
      </w:r>
    </w:p>
    <w:p w:rsidR="005B38F6" w:rsidRPr="005B38F6" w:rsidRDefault="005B38F6" w:rsidP="005B38F6">
      <w:pPr>
        <w:pStyle w:val="Textodenotaderodap"/>
        <w:jc w:val="both"/>
        <w:rPr>
          <w:rFonts w:ascii="Times New Roman" w:hAnsi="Times New Roman" w:cs="Times New Roman"/>
          <w:sz w:val="16"/>
        </w:rPr>
      </w:pPr>
      <w:r w:rsidRPr="005B38F6">
        <w:rPr>
          <w:rFonts w:ascii="Times New Roman" w:hAnsi="Times New Roman" w:cs="Times New Roman"/>
          <w:sz w:val="16"/>
        </w:rPr>
        <w:t>II - no quadro "Destinatário/remetente": a indicação completa do estabelecimento destinatário;</w:t>
      </w:r>
    </w:p>
    <w:p w:rsidR="005B38F6" w:rsidRPr="005B38F6" w:rsidRDefault="005B38F6" w:rsidP="005B38F6">
      <w:pPr>
        <w:pStyle w:val="Textodenotaderodap"/>
        <w:jc w:val="both"/>
        <w:rPr>
          <w:rFonts w:ascii="Times New Roman" w:hAnsi="Times New Roman" w:cs="Times New Roman"/>
          <w:sz w:val="16"/>
        </w:rPr>
      </w:pPr>
      <w:r w:rsidRPr="005B38F6">
        <w:rPr>
          <w:rFonts w:ascii="Times New Roman" w:hAnsi="Times New Roman" w:cs="Times New Roman"/>
          <w:sz w:val="16"/>
        </w:rPr>
        <w:t>III - no corpo da Nota Fiscal, no quadro "Dados do Produto", a seguinte expressão: "Nota Fiscal emitida para transferência de crédito entre estabelecimentos da mesma empresa - § 8.º, do artigo 33, da Lei n.º 2.657/96";</w:t>
      </w:r>
    </w:p>
    <w:p w:rsidR="005B38F6" w:rsidRPr="005B38F6" w:rsidRDefault="005B38F6" w:rsidP="005B38F6">
      <w:pPr>
        <w:pStyle w:val="Textodenotaderodap"/>
        <w:jc w:val="both"/>
        <w:rPr>
          <w:rFonts w:ascii="Times New Roman" w:hAnsi="Times New Roman" w:cs="Times New Roman"/>
          <w:sz w:val="16"/>
        </w:rPr>
      </w:pPr>
      <w:r w:rsidRPr="005B38F6">
        <w:rPr>
          <w:rFonts w:ascii="Times New Roman" w:hAnsi="Times New Roman" w:cs="Times New Roman"/>
          <w:sz w:val="16"/>
        </w:rPr>
        <w:t>IV - no quadro "Cálculo do Imposto", no campo "Valor Total da Nota": o valor do crédito a transferir.</w:t>
      </w:r>
    </w:p>
    <w:p w:rsidR="005B38F6" w:rsidRPr="005B38F6" w:rsidRDefault="005B38F6" w:rsidP="005B38F6">
      <w:pPr>
        <w:pStyle w:val="Textodenotaderodap"/>
        <w:jc w:val="both"/>
        <w:rPr>
          <w:sz w:val="16"/>
        </w:rPr>
      </w:pPr>
      <w:proofErr w:type="gramStart"/>
      <w:r w:rsidRPr="005B38F6">
        <w:rPr>
          <w:rFonts w:ascii="Times New Roman" w:hAnsi="Times New Roman" w:cs="Times New Roman"/>
          <w:sz w:val="16"/>
        </w:rPr>
        <w:t>Parágrafo único - A transferência do saldo credor fica limitada ao saldo devedor apurado pelo destinatário."</w:t>
      </w:r>
      <w:proofErr w:type="gramEnd"/>
      <w:r>
        <w:rPr>
          <w:rFonts w:ascii="Times New Roman" w:hAnsi="Times New Roman" w:cs="Times New Roman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4" w:rsidRDefault="004355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062D10B1" wp14:editId="09E60BE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DF4525" w:rsidP="005B0B8B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54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DF452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DF4525">
                  <w:rPr>
                    <w:rFonts w:ascii="Times New Roman" w:hAnsi="Times New Roman"/>
                    <w:sz w:val="20"/>
                  </w:rPr>
                  <w:t>07</w:t>
                </w:r>
                <w:r>
                  <w:rPr>
                    <w:rFonts w:ascii="Times New Roman" w:hAnsi="Times New Roman"/>
                    <w:sz w:val="20"/>
                  </w:rPr>
                  <w:t>/0</w:t>
                </w:r>
                <w:r w:rsidR="00DF4525">
                  <w:rPr>
                    <w:rFonts w:ascii="Times New Roman" w:hAnsi="Times New Roman"/>
                    <w:sz w:val="20"/>
                  </w:rPr>
                  <w:t>6</w:t>
                </w:r>
                <w:r>
                  <w:rPr>
                    <w:rFonts w:ascii="Times New Roman" w:hAnsi="Times New Roman"/>
                    <w:sz w:val="20"/>
                  </w:rPr>
                  <w:t>/2016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107BC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107BC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35594">
                  <w:rPr>
                    <w:rFonts w:ascii="Times New Roman" w:hAnsi="Times New Roman"/>
                    <w:noProof/>
                    <w:sz w:val="20"/>
                  </w:rPr>
                  <w:t>41</w:t>
                </w:r>
                <w:r w:rsidR="003107BC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4" w:rsidRDefault="00435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3"/>
  </w:num>
  <w:num w:numId="10">
    <w:abstractNumId w:val="6"/>
  </w:num>
  <w:num w:numId="11">
    <w:abstractNumId w:val="7"/>
  </w:num>
  <w:num w:numId="12">
    <w:abstractNumId w:val="22"/>
  </w:num>
  <w:num w:numId="13">
    <w:abstractNumId w:val="17"/>
  </w:num>
  <w:num w:numId="14">
    <w:abstractNumId w:val="28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7"/>
  </w:num>
  <w:num w:numId="21">
    <w:abstractNumId w:val="11"/>
  </w:num>
  <w:num w:numId="22">
    <w:abstractNumId w:val="13"/>
  </w:num>
  <w:num w:numId="23">
    <w:abstractNumId w:val="9"/>
  </w:num>
  <w:num w:numId="24">
    <w:abstractNumId w:val="25"/>
  </w:num>
  <w:num w:numId="25">
    <w:abstractNumId w:val="26"/>
  </w:num>
  <w:num w:numId="26">
    <w:abstractNumId w:val="8"/>
  </w:num>
  <w:num w:numId="27">
    <w:abstractNumId w:val="24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2389A"/>
    <w:rsid w:val="000267DA"/>
    <w:rsid w:val="0003044A"/>
    <w:rsid w:val="00053AD7"/>
    <w:rsid w:val="00054EB8"/>
    <w:rsid w:val="0005634A"/>
    <w:rsid w:val="0006100E"/>
    <w:rsid w:val="00063686"/>
    <w:rsid w:val="00064A50"/>
    <w:rsid w:val="00067269"/>
    <w:rsid w:val="00070B1C"/>
    <w:rsid w:val="0008336D"/>
    <w:rsid w:val="00084116"/>
    <w:rsid w:val="00084A83"/>
    <w:rsid w:val="000855F6"/>
    <w:rsid w:val="000874A1"/>
    <w:rsid w:val="000B2CBC"/>
    <w:rsid w:val="000C0F80"/>
    <w:rsid w:val="000C115B"/>
    <w:rsid w:val="000C2BAA"/>
    <w:rsid w:val="000C3A53"/>
    <w:rsid w:val="000C474C"/>
    <w:rsid w:val="000C5495"/>
    <w:rsid w:val="000C7B63"/>
    <w:rsid w:val="000D6809"/>
    <w:rsid w:val="000D6F55"/>
    <w:rsid w:val="000F30B1"/>
    <w:rsid w:val="000F4FB2"/>
    <w:rsid w:val="000F63EE"/>
    <w:rsid w:val="00111ED2"/>
    <w:rsid w:val="001342AA"/>
    <w:rsid w:val="0014427E"/>
    <w:rsid w:val="0014478F"/>
    <w:rsid w:val="0014555C"/>
    <w:rsid w:val="00147152"/>
    <w:rsid w:val="00156B62"/>
    <w:rsid w:val="00157300"/>
    <w:rsid w:val="00163E34"/>
    <w:rsid w:val="00166FDB"/>
    <w:rsid w:val="001760E5"/>
    <w:rsid w:val="0018777E"/>
    <w:rsid w:val="001A0157"/>
    <w:rsid w:val="001B06CE"/>
    <w:rsid w:val="001C1D79"/>
    <w:rsid w:val="001C7B3E"/>
    <w:rsid w:val="001D4EF6"/>
    <w:rsid w:val="001E4F56"/>
    <w:rsid w:val="001F309B"/>
    <w:rsid w:val="001F3956"/>
    <w:rsid w:val="001F3F43"/>
    <w:rsid w:val="001F7132"/>
    <w:rsid w:val="0020592B"/>
    <w:rsid w:val="00210225"/>
    <w:rsid w:val="002124DC"/>
    <w:rsid w:val="00216AA2"/>
    <w:rsid w:val="00217892"/>
    <w:rsid w:val="00222C49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77CB4"/>
    <w:rsid w:val="002827AA"/>
    <w:rsid w:val="0028490E"/>
    <w:rsid w:val="00286428"/>
    <w:rsid w:val="00296DAB"/>
    <w:rsid w:val="00296FE0"/>
    <w:rsid w:val="002A4C9B"/>
    <w:rsid w:val="002B25A7"/>
    <w:rsid w:val="002B2A2D"/>
    <w:rsid w:val="002B71CC"/>
    <w:rsid w:val="002B74A0"/>
    <w:rsid w:val="002C092A"/>
    <w:rsid w:val="002C2F26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74CE"/>
    <w:rsid w:val="003D672A"/>
    <w:rsid w:val="003E2C18"/>
    <w:rsid w:val="003E5196"/>
    <w:rsid w:val="003E541C"/>
    <w:rsid w:val="003E5502"/>
    <w:rsid w:val="003E5ED9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3EF2"/>
    <w:rsid w:val="004241D0"/>
    <w:rsid w:val="00427F9E"/>
    <w:rsid w:val="00431356"/>
    <w:rsid w:val="00435594"/>
    <w:rsid w:val="0044157F"/>
    <w:rsid w:val="00443B85"/>
    <w:rsid w:val="00455FAC"/>
    <w:rsid w:val="004606FC"/>
    <w:rsid w:val="00462AC3"/>
    <w:rsid w:val="00464744"/>
    <w:rsid w:val="00467517"/>
    <w:rsid w:val="00471066"/>
    <w:rsid w:val="004734E9"/>
    <w:rsid w:val="0047613C"/>
    <w:rsid w:val="00480304"/>
    <w:rsid w:val="00481E33"/>
    <w:rsid w:val="00481F61"/>
    <w:rsid w:val="00482136"/>
    <w:rsid w:val="00482C57"/>
    <w:rsid w:val="00483017"/>
    <w:rsid w:val="00487A3A"/>
    <w:rsid w:val="004A02C8"/>
    <w:rsid w:val="004A40D0"/>
    <w:rsid w:val="004A5EFB"/>
    <w:rsid w:val="004A6BD1"/>
    <w:rsid w:val="004C09C0"/>
    <w:rsid w:val="004C1EB5"/>
    <w:rsid w:val="004C2776"/>
    <w:rsid w:val="004D3BD9"/>
    <w:rsid w:val="004E2759"/>
    <w:rsid w:val="004E6C16"/>
    <w:rsid w:val="004F17F9"/>
    <w:rsid w:val="004F389A"/>
    <w:rsid w:val="004F5CBF"/>
    <w:rsid w:val="004F7719"/>
    <w:rsid w:val="00506358"/>
    <w:rsid w:val="00511D0E"/>
    <w:rsid w:val="00515D0B"/>
    <w:rsid w:val="005220FC"/>
    <w:rsid w:val="00524448"/>
    <w:rsid w:val="00531AD8"/>
    <w:rsid w:val="00531E77"/>
    <w:rsid w:val="005333BB"/>
    <w:rsid w:val="0053697F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5FC9"/>
    <w:rsid w:val="005D094C"/>
    <w:rsid w:val="005D2324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6D6F"/>
    <w:rsid w:val="0062063D"/>
    <w:rsid w:val="006239D5"/>
    <w:rsid w:val="006251E1"/>
    <w:rsid w:val="0063619B"/>
    <w:rsid w:val="006406C8"/>
    <w:rsid w:val="00641435"/>
    <w:rsid w:val="00642FBD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23073"/>
    <w:rsid w:val="0072317C"/>
    <w:rsid w:val="00726138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D43AF"/>
    <w:rsid w:val="007E0EB0"/>
    <w:rsid w:val="007E33A3"/>
    <w:rsid w:val="00802458"/>
    <w:rsid w:val="00802806"/>
    <w:rsid w:val="00805A34"/>
    <w:rsid w:val="008066EF"/>
    <w:rsid w:val="00811976"/>
    <w:rsid w:val="00813986"/>
    <w:rsid w:val="00815AF9"/>
    <w:rsid w:val="00820383"/>
    <w:rsid w:val="00820B31"/>
    <w:rsid w:val="00821B5B"/>
    <w:rsid w:val="00822FC1"/>
    <w:rsid w:val="00825B85"/>
    <w:rsid w:val="00825D6E"/>
    <w:rsid w:val="00826E19"/>
    <w:rsid w:val="00827ABA"/>
    <w:rsid w:val="0083341E"/>
    <w:rsid w:val="00834E93"/>
    <w:rsid w:val="00843CCE"/>
    <w:rsid w:val="00844E38"/>
    <w:rsid w:val="008505C6"/>
    <w:rsid w:val="008633F9"/>
    <w:rsid w:val="008662EA"/>
    <w:rsid w:val="00870982"/>
    <w:rsid w:val="00874337"/>
    <w:rsid w:val="008876B4"/>
    <w:rsid w:val="0089032B"/>
    <w:rsid w:val="0089083E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3F8D"/>
    <w:rsid w:val="008D4306"/>
    <w:rsid w:val="008E02BC"/>
    <w:rsid w:val="008E188A"/>
    <w:rsid w:val="008E7D29"/>
    <w:rsid w:val="008F3D1E"/>
    <w:rsid w:val="008F47CB"/>
    <w:rsid w:val="008F716D"/>
    <w:rsid w:val="009022FB"/>
    <w:rsid w:val="009114C8"/>
    <w:rsid w:val="00913262"/>
    <w:rsid w:val="009155C7"/>
    <w:rsid w:val="0092139C"/>
    <w:rsid w:val="0093290E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2B3E"/>
    <w:rsid w:val="009C4927"/>
    <w:rsid w:val="009C4F3D"/>
    <w:rsid w:val="009C52C7"/>
    <w:rsid w:val="009D1501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125EC"/>
    <w:rsid w:val="00A14030"/>
    <w:rsid w:val="00A1752D"/>
    <w:rsid w:val="00A257CC"/>
    <w:rsid w:val="00A2715D"/>
    <w:rsid w:val="00A27902"/>
    <w:rsid w:val="00A30CE6"/>
    <w:rsid w:val="00A35645"/>
    <w:rsid w:val="00A364D8"/>
    <w:rsid w:val="00A43FE4"/>
    <w:rsid w:val="00A509C6"/>
    <w:rsid w:val="00A5194A"/>
    <w:rsid w:val="00A617F9"/>
    <w:rsid w:val="00A73758"/>
    <w:rsid w:val="00A73790"/>
    <w:rsid w:val="00A73B7E"/>
    <w:rsid w:val="00A75493"/>
    <w:rsid w:val="00A75A0C"/>
    <w:rsid w:val="00A964F7"/>
    <w:rsid w:val="00AA3212"/>
    <w:rsid w:val="00AB4310"/>
    <w:rsid w:val="00AC0641"/>
    <w:rsid w:val="00AD3421"/>
    <w:rsid w:val="00AD363A"/>
    <w:rsid w:val="00AD3B79"/>
    <w:rsid w:val="00AD6ABB"/>
    <w:rsid w:val="00AE055F"/>
    <w:rsid w:val="00AE363D"/>
    <w:rsid w:val="00B07410"/>
    <w:rsid w:val="00B139A3"/>
    <w:rsid w:val="00B17E86"/>
    <w:rsid w:val="00B17EFE"/>
    <w:rsid w:val="00B20DFA"/>
    <w:rsid w:val="00B27C17"/>
    <w:rsid w:val="00B4364F"/>
    <w:rsid w:val="00B44136"/>
    <w:rsid w:val="00B44F93"/>
    <w:rsid w:val="00B45593"/>
    <w:rsid w:val="00B516C8"/>
    <w:rsid w:val="00B5604B"/>
    <w:rsid w:val="00B60C32"/>
    <w:rsid w:val="00B6462F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3672"/>
    <w:rsid w:val="00C43A2C"/>
    <w:rsid w:val="00C46AEA"/>
    <w:rsid w:val="00C50939"/>
    <w:rsid w:val="00C54A26"/>
    <w:rsid w:val="00C660AA"/>
    <w:rsid w:val="00C70E60"/>
    <w:rsid w:val="00C7352B"/>
    <w:rsid w:val="00C7405E"/>
    <w:rsid w:val="00C81F55"/>
    <w:rsid w:val="00C84107"/>
    <w:rsid w:val="00C90806"/>
    <w:rsid w:val="00CA5CAF"/>
    <w:rsid w:val="00CB1132"/>
    <w:rsid w:val="00CB230E"/>
    <w:rsid w:val="00CB482A"/>
    <w:rsid w:val="00CB7F75"/>
    <w:rsid w:val="00CC1EA7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5DB2"/>
    <w:rsid w:val="00D13A70"/>
    <w:rsid w:val="00D32712"/>
    <w:rsid w:val="00D45F53"/>
    <w:rsid w:val="00D47680"/>
    <w:rsid w:val="00D53045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207A"/>
    <w:rsid w:val="00DE4697"/>
    <w:rsid w:val="00DF4268"/>
    <w:rsid w:val="00DF4525"/>
    <w:rsid w:val="00DF7D22"/>
    <w:rsid w:val="00E002BA"/>
    <w:rsid w:val="00E01A2C"/>
    <w:rsid w:val="00E01F2A"/>
    <w:rsid w:val="00E21488"/>
    <w:rsid w:val="00E253A2"/>
    <w:rsid w:val="00E27221"/>
    <w:rsid w:val="00E4196B"/>
    <w:rsid w:val="00E4634E"/>
    <w:rsid w:val="00E56B5C"/>
    <w:rsid w:val="00E65EDD"/>
    <w:rsid w:val="00E7570E"/>
    <w:rsid w:val="00EA0C3B"/>
    <w:rsid w:val="00EB10C1"/>
    <w:rsid w:val="00EC6B66"/>
    <w:rsid w:val="00ED11CA"/>
    <w:rsid w:val="00ED5C7B"/>
    <w:rsid w:val="00ED65F3"/>
    <w:rsid w:val="00EE3A31"/>
    <w:rsid w:val="00EF09F1"/>
    <w:rsid w:val="00EF0A36"/>
    <w:rsid w:val="00EF46AB"/>
    <w:rsid w:val="00EF6A90"/>
    <w:rsid w:val="00F00CAB"/>
    <w:rsid w:val="00F12D6E"/>
    <w:rsid w:val="00F13D78"/>
    <w:rsid w:val="00F15CFA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E22"/>
    <w:rsid w:val="00F72299"/>
    <w:rsid w:val="00F73AEB"/>
    <w:rsid w:val="00F81ECB"/>
    <w:rsid w:val="00F85829"/>
    <w:rsid w:val="00F86609"/>
    <w:rsid w:val="00F90A4C"/>
    <w:rsid w:val="00F90B6F"/>
    <w:rsid w:val="00F90C3A"/>
    <w:rsid w:val="00F968E2"/>
    <w:rsid w:val="00FA1604"/>
    <w:rsid w:val="00FA36A8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4F35-C1B5-4BFC-A6AF-4E2B5551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2688</Words>
  <Characters>14519</Characters>
  <Application>Microsoft Office Word</Application>
  <DocSecurity>4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2016-07-25T18:12:00Z</cp:lastPrinted>
  <dcterms:created xsi:type="dcterms:W3CDTF">2016-09-28T17:40:00Z</dcterms:created>
  <dcterms:modified xsi:type="dcterms:W3CDTF">2016-09-28T17:40:00Z</dcterms:modified>
</cp:coreProperties>
</file>