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4455E" w:rsidP="004A6CC6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Fornecimento de Mercadoria</w:t>
            </w:r>
            <w:r w:rsidR="00A24CFF">
              <w:rPr>
                <w:rFonts w:ascii="Times New Roman" w:hAnsi="Times New Roman"/>
                <w:szCs w:val="22"/>
              </w:rPr>
              <w:t>s</w:t>
            </w:r>
            <w:r>
              <w:rPr>
                <w:rFonts w:ascii="Times New Roman" w:hAnsi="Times New Roman"/>
                <w:szCs w:val="22"/>
              </w:rPr>
              <w:t xml:space="preserve"> P</w:t>
            </w:r>
            <w:r w:rsidR="00A24CFF">
              <w:rPr>
                <w:rFonts w:ascii="Times New Roman" w:hAnsi="Times New Roman"/>
                <w:szCs w:val="22"/>
              </w:rPr>
              <w:t>or Fornecedor</w:t>
            </w:r>
            <w:r w:rsidR="00570A08">
              <w:rPr>
                <w:rFonts w:ascii="Times New Roman" w:hAnsi="Times New Roman"/>
                <w:szCs w:val="22"/>
              </w:rPr>
              <w:t>es</w:t>
            </w:r>
            <w:r w:rsidR="004A6CC6">
              <w:rPr>
                <w:rFonts w:ascii="Times New Roman" w:hAnsi="Times New Roman"/>
                <w:szCs w:val="22"/>
              </w:rPr>
              <w:t xml:space="preserve"> </w:t>
            </w:r>
            <w:r w:rsidR="00275213">
              <w:rPr>
                <w:rFonts w:ascii="Times New Roman" w:hAnsi="Times New Roman"/>
                <w:szCs w:val="22"/>
              </w:rPr>
              <w:t>para Canteiro</w:t>
            </w:r>
            <w:r w:rsidR="004A6CC6">
              <w:rPr>
                <w:rFonts w:ascii="Times New Roman" w:hAnsi="Times New Roman"/>
                <w:szCs w:val="22"/>
              </w:rPr>
              <w:t>s</w:t>
            </w:r>
            <w:r w:rsidR="00275213">
              <w:rPr>
                <w:rFonts w:ascii="Times New Roman" w:hAnsi="Times New Roman"/>
                <w:szCs w:val="22"/>
              </w:rPr>
              <w:t xml:space="preserve"> de Obras </w:t>
            </w:r>
            <w:r w:rsidR="008C6EFB">
              <w:rPr>
                <w:rFonts w:ascii="Times New Roman" w:hAnsi="Times New Roman"/>
                <w:szCs w:val="22"/>
              </w:rPr>
              <w:t>em Operaç</w:t>
            </w:r>
            <w:r w:rsidR="00275213">
              <w:rPr>
                <w:rFonts w:ascii="Times New Roman" w:hAnsi="Times New Roman"/>
                <w:szCs w:val="22"/>
              </w:rPr>
              <w:t xml:space="preserve">ões Internas e </w:t>
            </w:r>
            <w:r w:rsidR="008C6EFB">
              <w:rPr>
                <w:rFonts w:ascii="Times New Roman" w:hAnsi="Times New Roman"/>
                <w:szCs w:val="22"/>
              </w:rPr>
              <w:t>Interestadua</w:t>
            </w:r>
            <w:r w:rsidR="00275213">
              <w:rPr>
                <w:rFonts w:ascii="Times New Roman" w:hAnsi="Times New Roman"/>
                <w:szCs w:val="22"/>
              </w:rPr>
              <w:t>is</w:t>
            </w:r>
            <w:r w:rsidR="001F7132" w:rsidRPr="006F06F0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C96A4B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Consulta nº</w:t>
            </w:r>
            <w:r w:rsidR="00D54FB8">
              <w:rPr>
                <w:rFonts w:ascii="Times New Roman" w:hAnsi="Times New Roman"/>
                <w:szCs w:val="22"/>
              </w:rPr>
              <w:t xml:space="preserve"> 074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C96A4B">
              <w:rPr>
                <w:rFonts w:ascii="Times New Roman" w:hAnsi="Times New Roman"/>
                <w:szCs w:val="22"/>
              </w:rPr>
              <w:t>8</w:t>
            </w:r>
          </w:p>
          <w:p w:rsidR="009D1501" w:rsidRPr="006F06F0" w:rsidRDefault="009D1501" w:rsidP="00FE2C74">
            <w:pPr>
              <w:ind w:right="72"/>
              <w:jc w:val="right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360C1E" w:rsidRDefault="00F968E2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 – </w:t>
      </w:r>
      <w:r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elatório</w:t>
      </w:r>
      <w:r w:rsidR="00C96A4B">
        <w:rPr>
          <w:rFonts w:ascii="Times New Roman" w:hAnsi="Times New Roman" w:cs="Times New Roman"/>
          <w:b/>
          <w:smallCaps/>
        </w:rPr>
        <w:t>.</w:t>
      </w:r>
    </w:p>
    <w:p w:rsidR="00C96A4B" w:rsidRDefault="00C96A4B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mallCaps/>
        </w:rPr>
      </w:pPr>
    </w:p>
    <w:p w:rsidR="00C96A4B" w:rsidRPr="002B76F0" w:rsidRDefault="00C96A4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A empresa</w:t>
      </w:r>
      <w:r w:rsidR="00885D79" w:rsidRPr="002B76F0">
        <w:rPr>
          <w:rFonts w:ascii="Times New Roman" w:hAnsi="Times New Roman" w:cs="Times New Roman"/>
        </w:rPr>
        <w:t xml:space="preserve">, localizada no Estado de São Paulo, </w:t>
      </w:r>
      <w:r w:rsidR="00F3159A" w:rsidRPr="002B76F0">
        <w:rPr>
          <w:rFonts w:ascii="Times New Roman" w:hAnsi="Times New Roman" w:cs="Times New Roman"/>
        </w:rPr>
        <w:t xml:space="preserve">com atividade principal de “Construção de Edifícios – CNAE </w:t>
      </w:r>
      <w:r w:rsidR="008F5E9B" w:rsidRPr="002B76F0">
        <w:rPr>
          <w:rFonts w:ascii="Times New Roman" w:hAnsi="Times New Roman" w:cs="Times New Roman"/>
        </w:rPr>
        <w:t>41.20.4-00”, expõe na inicial o que segue.</w:t>
      </w:r>
    </w:p>
    <w:p w:rsidR="008F5E9B" w:rsidRPr="002B76F0" w:rsidRDefault="00B01FC8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Tendo em vista o</w:t>
      </w:r>
      <w:r w:rsidR="00246D39" w:rsidRPr="002B76F0">
        <w:rPr>
          <w:rFonts w:ascii="Times New Roman" w:hAnsi="Times New Roman" w:cs="Times New Roman"/>
        </w:rPr>
        <w:t xml:space="preserve"> inciso II do artigo 8º da Resolução SEFAZ n.º </w:t>
      </w:r>
      <w:r w:rsidR="00A86F9C" w:rsidRPr="002B76F0">
        <w:rPr>
          <w:rFonts w:ascii="Times New Roman" w:hAnsi="Times New Roman" w:cs="Times New Roman"/>
        </w:rPr>
        <w:t>994/16 (que deu nova redação ao Anexo I, Parte I, da Resolução SEFAZ Nº 720/14</w:t>
      </w:r>
      <w:r w:rsidR="004305F0" w:rsidRPr="002B76F0">
        <w:rPr>
          <w:rFonts w:ascii="Times New Roman" w:hAnsi="Times New Roman" w:cs="Times New Roman"/>
        </w:rPr>
        <w:t xml:space="preserve">), </w:t>
      </w:r>
      <w:r w:rsidR="00A60E37" w:rsidRPr="002B76F0">
        <w:rPr>
          <w:rFonts w:ascii="Times New Roman" w:hAnsi="Times New Roman" w:cs="Times New Roman"/>
        </w:rPr>
        <w:t xml:space="preserve">e </w:t>
      </w:r>
      <w:r w:rsidR="009B3567" w:rsidRPr="002B76F0">
        <w:rPr>
          <w:rFonts w:ascii="Times New Roman" w:hAnsi="Times New Roman" w:cs="Times New Roman"/>
        </w:rPr>
        <w:t xml:space="preserve">o </w:t>
      </w:r>
      <w:r w:rsidR="00A60E37" w:rsidRPr="002B76F0">
        <w:rPr>
          <w:rFonts w:ascii="Times New Roman" w:hAnsi="Times New Roman" w:cs="Times New Roman"/>
        </w:rPr>
        <w:t>p</w:t>
      </w:r>
      <w:r w:rsidR="009B3567" w:rsidRPr="002B76F0">
        <w:rPr>
          <w:rFonts w:ascii="Times New Roman" w:hAnsi="Times New Roman" w:cs="Times New Roman"/>
        </w:rPr>
        <w:t xml:space="preserve">arecer </w:t>
      </w:r>
      <w:r w:rsidR="00A60E37" w:rsidRPr="002B76F0">
        <w:rPr>
          <w:rFonts w:ascii="Times New Roman" w:hAnsi="Times New Roman" w:cs="Times New Roman"/>
        </w:rPr>
        <w:t>objeto do processo n.º E-04/007/3663/2014</w:t>
      </w:r>
      <w:r w:rsidR="004E5A29" w:rsidRPr="002B76F0">
        <w:rPr>
          <w:rFonts w:ascii="Times New Roman" w:hAnsi="Times New Roman" w:cs="Times New Roman"/>
        </w:rPr>
        <w:t xml:space="preserve"> (Consulta n.º 049/2015)</w:t>
      </w:r>
      <w:r w:rsidR="00A60E37" w:rsidRPr="002B76F0">
        <w:rPr>
          <w:rFonts w:ascii="Times New Roman" w:hAnsi="Times New Roman" w:cs="Times New Roman"/>
        </w:rPr>
        <w:t xml:space="preserve">, </w:t>
      </w:r>
      <w:r w:rsidR="00B4413D" w:rsidRPr="002B76F0">
        <w:rPr>
          <w:rFonts w:ascii="Times New Roman" w:hAnsi="Times New Roman" w:cs="Times New Roman"/>
        </w:rPr>
        <w:t xml:space="preserve">observou </w:t>
      </w:r>
      <w:r w:rsidR="004305F0" w:rsidRPr="002B76F0">
        <w:rPr>
          <w:rFonts w:ascii="Times New Roman" w:hAnsi="Times New Roman" w:cs="Times New Roman"/>
        </w:rPr>
        <w:t xml:space="preserve">a consulente que </w:t>
      </w:r>
      <w:r w:rsidR="00562D7D" w:rsidRPr="002B76F0">
        <w:rPr>
          <w:rFonts w:ascii="Times New Roman" w:hAnsi="Times New Roman" w:cs="Times New Roman"/>
        </w:rPr>
        <w:t>os canteiros de obras não estão obrigados à inscrição no Cadastro de Contribuintes do ICMS do Estado do Rio de Janeiro,</w:t>
      </w:r>
      <w:r w:rsidR="004738CA" w:rsidRPr="002B76F0">
        <w:rPr>
          <w:rFonts w:ascii="Times New Roman" w:hAnsi="Times New Roman" w:cs="Times New Roman"/>
        </w:rPr>
        <w:t xml:space="preserve"> bem assim, empresas de construção civil, ainda que contribuintes do ICMS, NÃO estabelecida </w:t>
      </w:r>
      <w:r w:rsidR="00635610" w:rsidRPr="002B76F0">
        <w:rPr>
          <w:rFonts w:ascii="Times New Roman" w:hAnsi="Times New Roman" w:cs="Times New Roman"/>
        </w:rPr>
        <w:t>no Rio de Janeiro.</w:t>
      </w:r>
    </w:p>
    <w:p w:rsidR="00B4413D" w:rsidRPr="002B76F0" w:rsidRDefault="00D02E0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Ao realizar obra de construção civil no Estado do Rio de Janeiro, solicita que seus fornecedores também localizados no mesmo Estado</w:t>
      </w:r>
      <w:r w:rsidR="00905595" w:rsidRPr="002B76F0">
        <w:rPr>
          <w:rFonts w:ascii="Times New Roman" w:hAnsi="Times New Roman" w:cs="Times New Roman"/>
        </w:rPr>
        <w:t>, entreguem as mercadorias em seu canteiro de obras.</w:t>
      </w:r>
    </w:p>
    <w:p w:rsidR="00905595" w:rsidRPr="002B76F0" w:rsidRDefault="00B00B3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Por ausência de previsão legal</w:t>
      </w:r>
      <w:r w:rsidR="009C7B15" w:rsidRPr="002B76F0">
        <w:rPr>
          <w:rFonts w:ascii="Times New Roman" w:hAnsi="Times New Roman" w:cs="Times New Roman"/>
        </w:rPr>
        <w:t>, os fornecedores não entendem ser válida essa operação</w:t>
      </w:r>
      <w:r w:rsidR="002307F8" w:rsidRPr="002B76F0">
        <w:rPr>
          <w:rFonts w:ascii="Times New Roman" w:hAnsi="Times New Roman" w:cs="Times New Roman"/>
        </w:rPr>
        <w:t>,</w:t>
      </w:r>
      <w:r w:rsidR="009C7B15" w:rsidRPr="002B76F0">
        <w:rPr>
          <w:rFonts w:ascii="Times New Roman" w:hAnsi="Times New Roman" w:cs="Times New Roman"/>
        </w:rPr>
        <w:t xml:space="preserve"> e para que a entrega ocorra diretamente no canteiro de obras, solicitam que a consulente emita uma Nota Fiscal de simples remessa. </w:t>
      </w:r>
      <w:r w:rsidR="001B3992" w:rsidRPr="002B76F0">
        <w:rPr>
          <w:rFonts w:ascii="Times New Roman" w:hAnsi="Times New Roman" w:cs="Times New Roman"/>
        </w:rPr>
        <w:t>Não obstante, consideram que essa operação é interestadual devido ao fato da consulente esta</w:t>
      </w:r>
      <w:r w:rsidR="007B5956" w:rsidRPr="002B76F0">
        <w:rPr>
          <w:rFonts w:ascii="Times New Roman" w:hAnsi="Times New Roman" w:cs="Times New Roman"/>
        </w:rPr>
        <w:t>r</w:t>
      </w:r>
      <w:r w:rsidR="001B3992" w:rsidRPr="002B76F0">
        <w:rPr>
          <w:rFonts w:ascii="Times New Roman" w:hAnsi="Times New Roman" w:cs="Times New Roman"/>
        </w:rPr>
        <w:t xml:space="preserve"> inscrita no Cadastro de Contribuintes do Estado de São Paulo.</w:t>
      </w:r>
    </w:p>
    <w:p w:rsidR="001B3992" w:rsidRPr="002B76F0" w:rsidRDefault="000866A0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 xml:space="preserve">Expõe a consulente </w:t>
      </w:r>
      <w:r w:rsidR="003347BF" w:rsidRPr="002B76F0">
        <w:rPr>
          <w:rFonts w:ascii="Times New Roman" w:hAnsi="Times New Roman" w:cs="Times New Roman"/>
        </w:rPr>
        <w:t>que esta Coordenação de Consultas Jurídico-Tributárias, através do processo n.º E-04/030/934/2016 (Consulta n.º 132/2016)</w:t>
      </w:r>
      <w:r w:rsidR="00845F11" w:rsidRPr="002B76F0">
        <w:rPr>
          <w:rFonts w:ascii="Times New Roman" w:hAnsi="Times New Roman" w:cs="Times New Roman"/>
        </w:rPr>
        <w:t xml:space="preserve">, com fundamento no artigo 30 do Anexo XIII, Parte II, da Resolução SEFAZ n.º </w:t>
      </w:r>
      <w:r w:rsidR="00AB7359" w:rsidRPr="002B76F0">
        <w:rPr>
          <w:rFonts w:ascii="Times New Roman" w:hAnsi="Times New Roman" w:cs="Times New Roman"/>
        </w:rPr>
        <w:t>720/14, e § 5º do artigo 24 do Livro I do RICMS/85 (sic),</w:t>
      </w:r>
      <w:r w:rsidR="00E266CD" w:rsidRPr="002B76F0">
        <w:rPr>
          <w:rFonts w:ascii="Times New Roman" w:hAnsi="Times New Roman" w:cs="Times New Roman"/>
        </w:rPr>
        <w:t xml:space="preserve"> </w:t>
      </w:r>
      <w:r w:rsidR="004807E2" w:rsidRPr="002B76F0">
        <w:rPr>
          <w:rFonts w:ascii="Times New Roman" w:hAnsi="Times New Roman" w:cs="Times New Roman"/>
        </w:rPr>
        <w:t>se pronunciou no sentido d</w:t>
      </w:r>
      <w:r w:rsidR="00E266CD" w:rsidRPr="002B76F0">
        <w:rPr>
          <w:rFonts w:ascii="Times New Roman" w:hAnsi="Times New Roman" w:cs="Times New Roman"/>
        </w:rPr>
        <w:t>e que se a mercadoria não circulou para</w:t>
      </w:r>
      <w:r w:rsidR="004807E2" w:rsidRPr="002B76F0">
        <w:rPr>
          <w:rFonts w:ascii="Times New Roman" w:hAnsi="Times New Roman" w:cs="Times New Roman"/>
        </w:rPr>
        <w:t xml:space="preserve"> </w:t>
      </w:r>
      <w:r w:rsidR="0021033A" w:rsidRPr="002B76F0">
        <w:rPr>
          <w:rFonts w:ascii="Times New Roman" w:hAnsi="Times New Roman" w:cs="Times New Roman"/>
        </w:rPr>
        <w:t xml:space="preserve">fora </w:t>
      </w:r>
      <w:r w:rsidR="004807E2" w:rsidRPr="002B76F0">
        <w:rPr>
          <w:rFonts w:ascii="Times New Roman" w:hAnsi="Times New Roman" w:cs="Times New Roman"/>
        </w:rPr>
        <w:t xml:space="preserve">do seu território </w:t>
      </w:r>
      <w:proofErr w:type="gramStart"/>
      <w:r w:rsidR="004807E2" w:rsidRPr="002B76F0">
        <w:rPr>
          <w:rFonts w:ascii="Times New Roman" w:hAnsi="Times New Roman" w:cs="Times New Roman"/>
        </w:rPr>
        <w:t>a</w:t>
      </w:r>
      <w:proofErr w:type="gramEnd"/>
      <w:r w:rsidR="004807E2" w:rsidRPr="002B76F0">
        <w:rPr>
          <w:rFonts w:ascii="Times New Roman" w:hAnsi="Times New Roman" w:cs="Times New Roman"/>
        </w:rPr>
        <w:t xml:space="preserve"> operação deveria ser considerada interna, ainda que praticada entre contribuintes do imposto.</w:t>
      </w:r>
    </w:p>
    <w:p w:rsidR="00FC370A" w:rsidRPr="002B76F0" w:rsidRDefault="0046357C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Assim, entende a consulente que as aquisições de mercadorias de fornecedores localizados no Estado do Rio de Janeiro com entrega em obra realizada dentro de mesmo Estado, serão consideradas internas</w:t>
      </w:r>
      <w:r w:rsidR="002D061E" w:rsidRPr="002B76F0">
        <w:rPr>
          <w:rFonts w:ascii="Times New Roman" w:hAnsi="Times New Roman" w:cs="Times New Roman"/>
        </w:rPr>
        <w:t xml:space="preserve"> pelo fato da mercadoria permanecer dentro desse território.  Dessa maneira, o fornecedor </w:t>
      </w:r>
      <w:r w:rsidR="00FC370A" w:rsidRPr="002B76F0">
        <w:rPr>
          <w:rFonts w:ascii="Times New Roman" w:hAnsi="Times New Roman" w:cs="Times New Roman"/>
        </w:rPr>
        <w:t>far</w:t>
      </w:r>
      <w:r w:rsidR="002D061E" w:rsidRPr="002B76F0">
        <w:rPr>
          <w:rFonts w:ascii="Times New Roman" w:hAnsi="Times New Roman" w:cs="Times New Roman"/>
        </w:rPr>
        <w:t xml:space="preserve">á a entrega da mercadoria diretamente </w:t>
      </w:r>
      <w:r w:rsidR="00FC370A" w:rsidRPr="002B76F0">
        <w:rPr>
          <w:rFonts w:ascii="Times New Roman" w:hAnsi="Times New Roman" w:cs="Times New Roman"/>
        </w:rPr>
        <w:t xml:space="preserve">no canteiro de obras e considerará as regras de tributação aplicáveis à </w:t>
      </w:r>
      <w:r w:rsidR="00FC370A" w:rsidRPr="002B76F0">
        <w:rPr>
          <w:rFonts w:ascii="Times New Roman" w:hAnsi="Times New Roman" w:cs="Times New Roman"/>
        </w:rPr>
        <w:lastRenderedPageBreak/>
        <w:t>operação interna.</w:t>
      </w:r>
      <w:r w:rsidR="00C351EA" w:rsidRPr="002B76F0">
        <w:rPr>
          <w:rFonts w:ascii="Times New Roman" w:hAnsi="Times New Roman" w:cs="Times New Roman"/>
        </w:rPr>
        <w:t xml:space="preserve">  </w:t>
      </w:r>
      <w:r w:rsidR="00462140" w:rsidRPr="002B76F0">
        <w:rPr>
          <w:rFonts w:ascii="Times New Roman" w:hAnsi="Times New Roman" w:cs="Times New Roman"/>
        </w:rPr>
        <w:t>Acrescenta q</w:t>
      </w:r>
      <w:r w:rsidR="00DD5A28" w:rsidRPr="002B76F0">
        <w:rPr>
          <w:rFonts w:ascii="Times New Roman" w:hAnsi="Times New Roman" w:cs="Times New Roman"/>
        </w:rPr>
        <w:t>ue o mesmo entendimento foi manifestado pelo Fisco de São Paulo</w:t>
      </w:r>
      <w:r w:rsidR="00B03639" w:rsidRPr="002B76F0">
        <w:rPr>
          <w:rFonts w:ascii="Times New Roman" w:hAnsi="Times New Roman" w:cs="Times New Roman"/>
        </w:rPr>
        <w:t xml:space="preserve"> (</w:t>
      </w:r>
      <w:r w:rsidR="001A0FFA" w:rsidRPr="002B76F0">
        <w:rPr>
          <w:rFonts w:ascii="Times New Roman" w:hAnsi="Times New Roman" w:cs="Times New Roman"/>
        </w:rPr>
        <w:t xml:space="preserve">quando </w:t>
      </w:r>
      <w:r w:rsidR="00B03639" w:rsidRPr="002B76F0">
        <w:rPr>
          <w:rFonts w:ascii="Times New Roman" w:hAnsi="Times New Roman" w:cs="Times New Roman"/>
        </w:rPr>
        <w:t>fornecedor e canteiro encontra</w:t>
      </w:r>
      <w:r w:rsidR="001A0FFA" w:rsidRPr="002B76F0">
        <w:rPr>
          <w:rFonts w:ascii="Times New Roman" w:hAnsi="Times New Roman" w:cs="Times New Roman"/>
        </w:rPr>
        <w:t>re</w:t>
      </w:r>
      <w:r w:rsidR="00B03639" w:rsidRPr="002B76F0">
        <w:rPr>
          <w:rFonts w:ascii="Times New Roman" w:hAnsi="Times New Roman" w:cs="Times New Roman"/>
        </w:rPr>
        <w:t>m-se no mesmo Estado).</w:t>
      </w:r>
    </w:p>
    <w:p w:rsidR="00B03639" w:rsidRPr="002B76F0" w:rsidRDefault="00B03639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No que concerne às operações envolvendo fornecedores localizados em Estado distinto da consulente e obra realizada em Estado diverso</w:t>
      </w:r>
      <w:r w:rsidR="000A0ADD" w:rsidRPr="002B76F0">
        <w:rPr>
          <w:rFonts w:ascii="Times New Roman" w:hAnsi="Times New Roman" w:cs="Times New Roman"/>
        </w:rPr>
        <w:t>,</w:t>
      </w:r>
      <w:r w:rsidRPr="002B76F0">
        <w:rPr>
          <w:rFonts w:ascii="Times New Roman" w:hAnsi="Times New Roman" w:cs="Times New Roman"/>
        </w:rPr>
        <w:t xml:space="preserve"> tanto do fornecedor quanto da consulente, </w:t>
      </w:r>
      <w:r w:rsidR="002C3154" w:rsidRPr="002B76F0">
        <w:rPr>
          <w:rFonts w:ascii="Times New Roman" w:hAnsi="Times New Roman" w:cs="Times New Roman"/>
        </w:rPr>
        <w:t>informa que o Fisco paulista</w:t>
      </w:r>
      <w:r w:rsidR="00820C72" w:rsidRPr="002B76F0">
        <w:rPr>
          <w:rFonts w:ascii="Times New Roman" w:hAnsi="Times New Roman" w:cs="Times New Roman"/>
        </w:rPr>
        <w:t xml:space="preserve"> entende tratar-se de operação interestadual, com incidência do DIFAL, na</w:t>
      </w:r>
      <w:r w:rsidR="00CA03DD" w:rsidRPr="002B76F0">
        <w:rPr>
          <w:rFonts w:ascii="Times New Roman" w:hAnsi="Times New Roman" w:cs="Times New Roman"/>
        </w:rPr>
        <w:t xml:space="preserve"> forma da EC n.º 87/2015, detalhando como o fornecedor deve emitir o documento fiscal nas operações interestaduais (</w:t>
      </w:r>
      <w:r w:rsidR="00B139E9" w:rsidRPr="002B76F0">
        <w:rPr>
          <w:rFonts w:ascii="Times New Roman" w:hAnsi="Times New Roman" w:cs="Times New Roman"/>
        </w:rPr>
        <w:t>NF-e em nome do adquirente com o endereço do local da entrega efetiva, CFOP do grupo 6.000</w:t>
      </w:r>
      <w:r w:rsidR="00F7126E" w:rsidRPr="002B76F0">
        <w:rPr>
          <w:rFonts w:ascii="Times New Roman" w:hAnsi="Times New Roman" w:cs="Times New Roman"/>
        </w:rPr>
        <w:t>).</w:t>
      </w:r>
    </w:p>
    <w:p w:rsidR="00F7126E" w:rsidRPr="002B76F0" w:rsidRDefault="00F7126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proofErr w:type="gramStart"/>
      <w:r w:rsidRPr="002B76F0">
        <w:rPr>
          <w:rFonts w:ascii="Times New Roman" w:hAnsi="Times New Roman" w:cs="Times New Roman"/>
          <w:b/>
          <w:smallCaps/>
        </w:rPr>
        <w:t>Isto posto</w:t>
      </w:r>
      <w:proofErr w:type="gramEnd"/>
      <w:r w:rsidRPr="002B76F0">
        <w:rPr>
          <w:rFonts w:ascii="Times New Roman" w:hAnsi="Times New Roman" w:cs="Times New Roman"/>
          <w:b/>
          <w:smallCaps/>
        </w:rPr>
        <w:t>, Consulta:</w:t>
      </w:r>
    </w:p>
    <w:p w:rsidR="00F7126E" w:rsidRPr="002B76F0" w:rsidRDefault="00DA1563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</w:t>
      </w:r>
      <w:proofErr w:type="gramEnd"/>
      <w:r w:rsidR="00F873C9" w:rsidRPr="002B76F0">
        <w:rPr>
          <w:rFonts w:ascii="Times New Roman" w:hAnsi="Times New Roman" w:cs="Times New Roman"/>
        </w:rPr>
        <w:t xml:space="preserve">) </w:t>
      </w:r>
      <w:r w:rsidR="00F54FFE" w:rsidRPr="002B76F0">
        <w:rPr>
          <w:rFonts w:ascii="Times New Roman" w:hAnsi="Times New Roman" w:cs="Times New Roman"/>
        </w:rPr>
        <w:t>Na hipótese dos fornecedores, quer sejam os próprios produtores quer sejam revendedores, localizados no Estado do Rio de Janeiro,</w:t>
      </w:r>
      <w:r w:rsidR="004E6252" w:rsidRPr="002B76F0">
        <w:rPr>
          <w:rFonts w:ascii="Times New Roman" w:hAnsi="Times New Roman" w:cs="Times New Roman"/>
        </w:rPr>
        <w:t xml:space="preserve"> </w:t>
      </w:r>
      <w:r w:rsidR="0054386B" w:rsidRPr="002B76F0">
        <w:rPr>
          <w:rFonts w:ascii="Times New Roman" w:hAnsi="Times New Roman" w:cs="Times New Roman"/>
        </w:rPr>
        <w:t>venderem mercadorias para a consulente, empresa de construção civil com sede em São Paulo,</w:t>
      </w:r>
      <w:r w:rsidR="00AC2B6B" w:rsidRPr="002B76F0">
        <w:rPr>
          <w:rFonts w:ascii="Times New Roman" w:hAnsi="Times New Roman" w:cs="Times New Roman"/>
        </w:rPr>
        <w:t xml:space="preserve"> consumidora final não contribuinte do ICMS, cuja entrega seja em canteiro de obra em execução pela </w:t>
      </w:r>
      <w:r w:rsidR="00553D7C" w:rsidRPr="002B76F0">
        <w:rPr>
          <w:rFonts w:ascii="Times New Roman" w:hAnsi="Times New Roman" w:cs="Times New Roman"/>
        </w:rPr>
        <w:t>consulente</w:t>
      </w:r>
      <w:r w:rsidR="00AC2B6B" w:rsidRPr="002B76F0">
        <w:rPr>
          <w:rFonts w:ascii="Times New Roman" w:hAnsi="Times New Roman" w:cs="Times New Roman"/>
        </w:rPr>
        <w:t xml:space="preserve">, </w:t>
      </w:r>
      <w:r w:rsidR="00553D7C" w:rsidRPr="002B76F0">
        <w:rPr>
          <w:rFonts w:ascii="Times New Roman" w:hAnsi="Times New Roman" w:cs="Times New Roman"/>
        </w:rPr>
        <w:t>o</w:t>
      </w:r>
      <w:r w:rsidR="00AC2B6B" w:rsidRPr="002B76F0">
        <w:rPr>
          <w:rFonts w:ascii="Times New Roman" w:hAnsi="Times New Roman" w:cs="Times New Roman"/>
        </w:rPr>
        <w:t xml:space="preserve">bra </w:t>
      </w:r>
      <w:r w:rsidR="00EC2B92" w:rsidRPr="002B76F0">
        <w:rPr>
          <w:rFonts w:ascii="Times New Roman" w:hAnsi="Times New Roman" w:cs="Times New Roman"/>
        </w:rPr>
        <w:t xml:space="preserve">esta localizada </w:t>
      </w:r>
      <w:r w:rsidR="00AC2B6B" w:rsidRPr="002B76F0">
        <w:rPr>
          <w:rFonts w:ascii="Times New Roman" w:hAnsi="Times New Roman" w:cs="Times New Roman"/>
        </w:rPr>
        <w:t>no Rio de Janeiro</w:t>
      </w:r>
      <w:r w:rsidR="00A32368" w:rsidRPr="002B76F0">
        <w:rPr>
          <w:rFonts w:ascii="Times New Roman" w:hAnsi="Times New Roman" w:cs="Times New Roman"/>
        </w:rPr>
        <w:t>:</w:t>
      </w:r>
    </w:p>
    <w:p w:rsidR="00A32368" w:rsidRPr="002B76F0" w:rsidRDefault="00DA1563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</w:t>
      </w:r>
      <w:r w:rsidR="00F873C9" w:rsidRPr="002B76F0">
        <w:rPr>
          <w:rFonts w:ascii="Times New Roman" w:hAnsi="Times New Roman" w:cs="Times New Roman"/>
        </w:rPr>
        <w:t>.</w:t>
      </w:r>
      <w:r w:rsidR="00A32368" w:rsidRPr="002B76F0">
        <w:rPr>
          <w:rFonts w:ascii="Times New Roman" w:hAnsi="Times New Roman" w:cs="Times New Roman"/>
        </w:rPr>
        <w:t>1)</w:t>
      </w:r>
      <w:proofErr w:type="gramEnd"/>
      <w:r w:rsidR="00A32368" w:rsidRPr="002B76F0">
        <w:rPr>
          <w:rFonts w:ascii="Times New Roman" w:hAnsi="Times New Roman" w:cs="Times New Roman"/>
        </w:rPr>
        <w:t xml:space="preserve"> Será considerada interna a operação?</w:t>
      </w:r>
    </w:p>
    <w:p w:rsidR="00A32368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</w:t>
      </w:r>
      <w:r w:rsidR="00F873C9" w:rsidRPr="002B76F0">
        <w:rPr>
          <w:rFonts w:ascii="Times New Roman" w:hAnsi="Times New Roman" w:cs="Times New Roman"/>
        </w:rPr>
        <w:t>.</w:t>
      </w:r>
      <w:r w:rsidR="00A32368" w:rsidRPr="002B76F0">
        <w:rPr>
          <w:rFonts w:ascii="Times New Roman" w:hAnsi="Times New Roman" w:cs="Times New Roman"/>
        </w:rPr>
        <w:t>2)</w:t>
      </w:r>
      <w:proofErr w:type="gramEnd"/>
      <w:r w:rsidR="00A32368" w:rsidRPr="002B76F0">
        <w:rPr>
          <w:rFonts w:ascii="Times New Roman" w:hAnsi="Times New Roman" w:cs="Times New Roman"/>
        </w:rPr>
        <w:t xml:space="preserve"> O fornecedor pode realizar a entrega di</w:t>
      </w:r>
      <w:r w:rsidR="00553D7C" w:rsidRPr="002B76F0">
        <w:rPr>
          <w:rFonts w:ascii="Times New Roman" w:hAnsi="Times New Roman" w:cs="Times New Roman"/>
        </w:rPr>
        <w:t>retamente no canteiro de obra</w:t>
      </w:r>
      <w:r w:rsidR="00A32368" w:rsidRPr="002B76F0">
        <w:rPr>
          <w:rFonts w:ascii="Times New Roman" w:hAnsi="Times New Roman" w:cs="Times New Roman"/>
        </w:rPr>
        <w:t>?</w:t>
      </w:r>
    </w:p>
    <w:p w:rsidR="00A32368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</w:t>
      </w:r>
      <w:r w:rsidR="00F873C9" w:rsidRPr="002B76F0">
        <w:rPr>
          <w:rFonts w:ascii="Times New Roman" w:hAnsi="Times New Roman" w:cs="Times New Roman"/>
        </w:rPr>
        <w:t>.</w:t>
      </w:r>
      <w:r w:rsidR="00A32368" w:rsidRPr="002B76F0">
        <w:rPr>
          <w:rFonts w:ascii="Times New Roman" w:hAnsi="Times New Roman" w:cs="Times New Roman"/>
        </w:rPr>
        <w:t>3)</w:t>
      </w:r>
      <w:proofErr w:type="gramEnd"/>
      <w:r w:rsidR="00D62CD7" w:rsidRPr="002B76F0">
        <w:rPr>
          <w:rFonts w:ascii="Times New Roman" w:hAnsi="Times New Roman" w:cs="Times New Roman"/>
        </w:rPr>
        <w:t xml:space="preserve"> Em caso afirmativo, </w:t>
      </w:r>
      <w:r w:rsidR="00AD3077" w:rsidRPr="002B76F0">
        <w:rPr>
          <w:rFonts w:ascii="Times New Roman" w:hAnsi="Times New Roman" w:cs="Times New Roman"/>
        </w:rPr>
        <w:t xml:space="preserve">quanto à emissão do documento fiscal, o fornecedor do Estado do Rio de Janeiro deve considerar </w:t>
      </w:r>
      <w:r w:rsidR="00750912" w:rsidRPr="002B76F0">
        <w:rPr>
          <w:rFonts w:ascii="Times New Roman" w:hAnsi="Times New Roman" w:cs="Times New Roman"/>
        </w:rPr>
        <w:t>os CFOPs pertinentes às operações internas, como, por exemplo, 5.101 ou 5.102, e informar os dados do adquirente com o endereço da efetiva entrega</w:t>
      </w:r>
      <w:r w:rsidR="00A54AEB" w:rsidRPr="002B76F0">
        <w:rPr>
          <w:rFonts w:ascii="Times New Roman" w:hAnsi="Times New Roman" w:cs="Times New Roman"/>
        </w:rPr>
        <w:t>, ou seja, a razão social da consulente como destinatária e endereço da obra no campo “Endereço do Destinatário”?</w:t>
      </w:r>
    </w:p>
    <w:p w:rsidR="00A54AEB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</w:t>
      </w:r>
      <w:r w:rsidR="00F873C9" w:rsidRPr="002B76F0">
        <w:rPr>
          <w:rFonts w:ascii="Times New Roman" w:hAnsi="Times New Roman" w:cs="Times New Roman"/>
        </w:rPr>
        <w:t>.</w:t>
      </w:r>
      <w:r w:rsidR="00A54AEB" w:rsidRPr="002B76F0">
        <w:rPr>
          <w:rFonts w:ascii="Times New Roman" w:hAnsi="Times New Roman" w:cs="Times New Roman"/>
        </w:rPr>
        <w:t>4)</w:t>
      </w:r>
      <w:proofErr w:type="gramEnd"/>
      <w:r w:rsidR="00A54AEB" w:rsidRPr="002B76F0">
        <w:rPr>
          <w:rFonts w:ascii="Times New Roman" w:hAnsi="Times New Roman" w:cs="Times New Roman"/>
        </w:rPr>
        <w:t xml:space="preserve"> Está correta o entendimento de que não é devido o diferencial de alíquotas?</w:t>
      </w:r>
    </w:p>
    <w:p w:rsidR="003E1E84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2</w:t>
      </w:r>
      <w:proofErr w:type="gramEnd"/>
      <w:r w:rsidR="009267DC" w:rsidRPr="002B76F0">
        <w:rPr>
          <w:rFonts w:ascii="Times New Roman" w:hAnsi="Times New Roman" w:cs="Times New Roman"/>
        </w:rPr>
        <w:t xml:space="preserve">) </w:t>
      </w:r>
      <w:r w:rsidR="003E1E84" w:rsidRPr="002B76F0">
        <w:rPr>
          <w:rFonts w:ascii="Times New Roman" w:hAnsi="Times New Roman" w:cs="Times New Roman"/>
        </w:rPr>
        <w:t xml:space="preserve">Na hipótese dos fornecedores, quer sejam os próprios produtores quer sejam revendedores, localizados no Estado do Rio de Janeiro, venderem mercadorias para a consulente, empresa de construção civil com sede em São Paulo, consumidora final não contribuinte do ICMS, cuja entrega seja em canteiro de obra em execução pela </w:t>
      </w:r>
      <w:r w:rsidR="00D53E8B" w:rsidRPr="002B76F0">
        <w:rPr>
          <w:rFonts w:ascii="Times New Roman" w:hAnsi="Times New Roman" w:cs="Times New Roman"/>
        </w:rPr>
        <w:t>consulente</w:t>
      </w:r>
      <w:r w:rsidR="003E1E84" w:rsidRPr="002B76F0">
        <w:rPr>
          <w:rFonts w:ascii="Times New Roman" w:hAnsi="Times New Roman" w:cs="Times New Roman"/>
        </w:rPr>
        <w:t xml:space="preserve">, em obra realizada </w:t>
      </w:r>
      <w:r w:rsidR="00F4461C" w:rsidRPr="002B76F0">
        <w:rPr>
          <w:rFonts w:ascii="Times New Roman" w:hAnsi="Times New Roman" w:cs="Times New Roman"/>
        </w:rPr>
        <w:t xml:space="preserve">em outros Estados, que não </w:t>
      </w:r>
      <w:r w:rsidR="003E1E84" w:rsidRPr="002B76F0">
        <w:rPr>
          <w:rFonts w:ascii="Times New Roman" w:hAnsi="Times New Roman" w:cs="Times New Roman"/>
        </w:rPr>
        <w:t>o Rio de Janeiro:</w:t>
      </w:r>
    </w:p>
    <w:p w:rsidR="002064FC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2</w:t>
      </w:r>
      <w:r w:rsidR="00F873C9" w:rsidRPr="002B76F0">
        <w:rPr>
          <w:rFonts w:ascii="Times New Roman" w:hAnsi="Times New Roman" w:cs="Times New Roman"/>
        </w:rPr>
        <w:t>.</w:t>
      </w:r>
      <w:r w:rsidR="002F05D6" w:rsidRPr="002B76F0">
        <w:rPr>
          <w:rFonts w:ascii="Times New Roman" w:hAnsi="Times New Roman" w:cs="Times New Roman"/>
        </w:rPr>
        <w:t>1</w:t>
      </w:r>
      <w:r w:rsidR="00F4461C" w:rsidRPr="002B76F0">
        <w:rPr>
          <w:rFonts w:ascii="Times New Roman" w:hAnsi="Times New Roman" w:cs="Times New Roman"/>
        </w:rPr>
        <w:t>)</w:t>
      </w:r>
      <w:proofErr w:type="gramEnd"/>
      <w:r w:rsidR="008A370B" w:rsidRPr="002B76F0">
        <w:rPr>
          <w:rFonts w:ascii="Times New Roman" w:hAnsi="Times New Roman" w:cs="Times New Roman"/>
        </w:rPr>
        <w:t xml:space="preserve"> </w:t>
      </w:r>
      <w:r w:rsidR="002064FC" w:rsidRPr="002B76F0">
        <w:rPr>
          <w:rFonts w:ascii="Times New Roman" w:hAnsi="Times New Roman" w:cs="Times New Roman"/>
        </w:rPr>
        <w:t>O fornecedor pode realizar a entrega diretamente no canteiro de obras?</w:t>
      </w:r>
    </w:p>
    <w:p w:rsidR="003E1E84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2</w:t>
      </w:r>
      <w:r w:rsidR="009267DC" w:rsidRPr="002B76F0">
        <w:rPr>
          <w:rFonts w:ascii="Times New Roman" w:hAnsi="Times New Roman" w:cs="Times New Roman"/>
        </w:rPr>
        <w:t>.</w:t>
      </w:r>
      <w:r w:rsidR="002F05D6" w:rsidRPr="002B76F0">
        <w:rPr>
          <w:rFonts w:ascii="Times New Roman" w:hAnsi="Times New Roman" w:cs="Times New Roman"/>
        </w:rPr>
        <w:t>2</w:t>
      </w:r>
      <w:r w:rsidR="002064FC" w:rsidRPr="002B76F0">
        <w:rPr>
          <w:rFonts w:ascii="Times New Roman" w:hAnsi="Times New Roman" w:cs="Times New Roman"/>
        </w:rPr>
        <w:t>)</w:t>
      </w:r>
      <w:proofErr w:type="gramEnd"/>
      <w:r w:rsidR="002064FC" w:rsidRPr="002B76F0">
        <w:rPr>
          <w:rFonts w:ascii="Times New Roman" w:hAnsi="Times New Roman" w:cs="Times New Roman"/>
        </w:rPr>
        <w:t xml:space="preserve"> Está correto o entendimento de que se trata de operação interestadual e o DIFAL</w:t>
      </w:r>
      <w:r w:rsidR="00F04340" w:rsidRPr="002B76F0">
        <w:rPr>
          <w:rFonts w:ascii="Times New Roman" w:hAnsi="Times New Roman" w:cs="Times New Roman"/>
        </w:rPr>
        <w:t xml:space="preserve"> relativo à EC n.º 87/2015 é devido ao local de destino da mercadoria?</w:t>
      </w:r>
    </w:p>
    <w:p w:rsidR="00F04340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lastRenderedPageBreak/>
        <w:t>2</w:t>
      </w:r>
      <w:r w:rsidR="009267DC" w:rsidRPr="002B76F0">
        <w:rPr>
          <w:rFonts w:ascii="Times New Roman" w:hAnsi="Times New Roman" w:cs="Times New Roman"/>
        </w:rPr>
        <w:t>.</w:t>
      </w:r>
      <w:r w:rsidR="002F05D6" w:rsidRPr="002B76F0">
        <w:rPr>
          <w:rFonts w:ascii="Times New Roman" w:hAnsi="Times New Roman" w:cs="Times New Roman"/>
        </w:rPr>
        <w:t>3</w:t>
      </w:r>
      <w:r w:rsidR="00F04340" w:rsidRPr="002B76F0">
        <w:rPr>
          <w:rFonts w:ascii="Times New Roman" w:hAnsi="Times New Roman" w:cs="Times New Roman"/>
        </w:rPr>
        <w:t>)</w:t>
      </w:r>
      <w:proofErr w:type="gramEnd"/>
      <w:r w:rsidR="00F04340" w:rsidRPr="002B76F0">
        <w:rPr>
          <w:rFonts w:ascii="Times New Roman" w:hAnsi="Times New Roman" w:cs="Times New Roman"/>
        </w:rPr>
        <w:t xml:space="preserve"> Quem será o responsável pelo pagamento do DIFAL relativo à EC n.º 87/2015?</w:t>
      </w:r>
    </w:p>
    <w:p w:rsidR="00F04340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2</w:t>
      </w:r>
      <w:r w:rsidR="009267DC" w:rsidRPr="002B76F0">
        <w:rPr>
          <w:rFonts w:ascii="Times New Roman" w:hAnsi="Times New Roman" w:cs="Times New Roman"/>
        </w:rPr>
        <w:t>.</w:t>
      </w:r>
      <w:r w:rsidR="002F05D6" w:rsidRPr="002B76F0">
        <w:rPr>
          <w:rFonts w:ascii="Times New Roman" w:hAnsi="Times New Roman" w:cs="Times New Roman"/>
        </w:rPr>
        <w:t>4</w:t>
      </w:r>
      <w:r w:rsidR="00F04340" w:rsidRPr="002B76F0">
        <w:rPr>
          <w:rFonts w:ascii="Times New Roman" w:hAnsi="Times New Roman" w:cs="Times New Roman"/>
        </w:rPr>
        <w:t>)</w:t>
      </w:r>
      <w:proofErr w:type="gramEnd"/>
      <w:r w:rsidR="00F04340" w:rsidRPr="002B76F0">
        <w:rPr>
          <w:rFonts w:ascii="Times New Roman" w:hAnsi="Times New Roman" w:cs="Times New Roman"/>
        </w:rPr>
        <w:t xml:space="preserve"> </w:t>
      </w:r>
      <w:r w:rsidR="00A55429" w:rsidRPr="002B76F0">
        <w:rPr>
          <w:rFonts w:ascii="Times New Roman" w:hAnsi="Times New Roman" w:cs="Times New Roman"/>
        </w:rPr>
        <w:t>Quanto à emissão do documento fiscal, o fornecedor deste Estado deve considerar os CFOPs pertinentes às operações interestaduais</w:t>
      </w:r>
      <w:r w:rsidR="00C46234" w:rsidRPr="002B76F0">
        <w:rPr>
          <w:rFonts w:ascii="Times New Roman" w:hAnsi="Times New Roman" w:cs="Times New Roman"/>
        </w:rPr>
        <w:t xml:space="preserve"> com não contribuinte, CFOPs 6.107 ou 6.108, por exemplo, </w:t>
      </w:r>
      <w:r w:rsidR="001B497B" w:rsidRPr="002B76F0">
        <w:rPr>
          <w:rFonts w:ascii="Times New Roman" w:hAnsi="Times New Roman" w:cs="Times New Roman"/>
        </w:rPr>
        <w:t xml:space="preserve">e informar </w:t>
      </w:r>
      <w:r w:rsidR="005B7742" w:rsidRPr="002B76F0">
        <w:rPr>
          <w:rFonts w:ascii="Times New Roman" w:hAnsi="Times New Roman" w:cs="Times New Roman"/>
        </w:rPr>
        <w:t>os dados do adquirente com o endereço da efetiva entrega, ou seja, a razão social da consulente como destinatária e endereço da obra no campo “Endereço do Destinatário”?</w:t>
      </w:r>
    </w:p>
    <w:p w:rsidR="0079182E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</w:t>
      </w:r>
      <w:proofErr w:type="gramEnd"/>
      <w:r w:rsidR="009267DC" w:rsidRPr="002B76F0">
        <w:rPr>
          <w:rFonts w:ascii="Times New Roman" w:hAnsi="Times New Roman" w:cs="Times New Roman"/>
        </w:rPr>
        <w:t xml:space="preserve">) </w:t>
      </w:r>
      <w:r w:rsidR="0079182E" w:rsidRPr="002B76F0">
        <w:rPr>
          <w:rFonts w:ascii="Times New Roman" w:hAnsi="Times New Roman" w:cs="Times New Roman"/>
        </w:rPr>
        <w:t xml:space="preserve">Na hipótese dos fornecedores, quer sejam os próprios produtores quer sejam revendedores, localizados </w:t>
      </w:r>
      <w:r w:rsidR="00E909A2" w:rsidRPr="002B76F0">
        <w:rPr>
          <w:rFonts w:ascii="Times New Roman" w:hAnsi="Times New Roman" w:cs="Times New Roman"/>
        </w:rPr>
        <w:t xml:space="preserve">em </w:t>
      </w:r>
      <w:r w:rsidR="0079182E" w:rsidRPr="002B76F0">
        <w:rPr>
          <w:rFonts w:ascii="Times New Roman" w:hAnsi="Times New Roman" w:cs="Times New Roman"/>
        </w:rPr>
        <w:t>Estado</w:t>
      </w:r>
      <w:r w:rsidR="00E909A2" w:rsidRPr="002B76F0">
        <w:rPr>
          <w:rFonts w:ascii="Times New Roman" w:hAnsi="Times New Roman" w:cs="Times New Roman"/>
        </w:rPr>
        <w:t xml:space="preserve"> </w:t>
      </w:r>
      <w:r w:rsidR="00680B25" w:rsidRPr="002B76F0">
        <w:rPr>
          <w:rFonts w:ascii="Times New Roman" w:hAnsi="Times New Roman" w:cs="Times New Roman"/>
        </w:rPr>
        <w:t>DIVERSO</w:t>
      </w:r>
      <w:r w:rsidR="00E909A2" w:rsidRPr="002B76F0">
        <w:rPr>
          <w:rFonts w:ascii="Times New Roman" w:hAnsi="Times New Roman" w:cs="Times New Roman"/>
        </w:rPr>
        <w:t xml:space="preserve"> </w:t>
      </w:r>
      <w:r w:rsidR="0079182E" w:rsidRPr="002B76F0">
        <w:rPr>
          <w:rFonts w:ascii="Times New Roman" w:hAnsi="Times New Roman" w:cs="Times New Roman"/>
        </w:rPr>
        <w:t xml:space="preserve">do Rio de Janeiro, venderem mercadorias para a consulente, empresa de construção civil com sede em São Paulo, consumidora final não contribuinte do ICMS, cuja entrega seja em canteiro de obras em execução pela </w:t>
      </w:r>
      <w:r w:rsidR="009D7761" w:rsidRPr="002B76F0">
        <w:rPr>
          <w:rFonts w:ascii="Times New Roman" w:hAnsi="Times New Roman" w:cs="Times New Roman"/>
        </w:rPr>
        <w:t>consulente</w:t>
      </w:r>
      <w:r w:rsidR="0079182E" w:rsidRPr="002B76F0">
        <w:rPr>
          <w:rFonts w:ascii="Times New Roman" w:hAnsi="Times New Roman" w:cs="Times New Roman"/>
        </w:rPr>
        <w:t xml:space="preserve">, </w:t>
      </w:r>
      <w:r w:rsidR="002A5BA8" w:rsidRPr="002B76F0">
        <w:rPr>
          <w:rFonts w:ascii="Times New Roman" w:hAnsi="Times New Roman" w:cs="Times New Roman"/>
        </w:rPr>
        <w:t>l</w:t>
      </w:r>
      <w:r w:rsidR="00685A49" w:rsidRPr="002B76F0">
        <w:rPr>
          <w:rFonts w:ascii="Times New Roman" w:hAnsi="Times New Roman" w:cs="Times New Roman"/>
        </w:rPr>
        <w:t xml:space="preserve">ocalizada em </w:t>
      </w:r>
      <w:r w:rsidR="00B40F77" w:rsidRPr="002B76F0">
        <w:rPr>
          <w:rFonts w:ascii="Times New Roman" w:hAnsi="Times New Roman" w:cs="Times New Roman"/>
        </w:rPr>
        <w:t>M</w:t>
      </w:r>
      <w:r w:rsidR="00680B25" w:rsidRPr="002B76F0">
        <w:rPr>
          <w:rFonts w:ascii="Times New Roman" w:hAnsi="Times New Roman" w:cs="Times New Roman"/>
        </w:rPr>
        <w:t>unicípio d</w:t>
      </w:r>
      <w:r w:rsidR="00855F4B" w:rsidRPr="002B76F0">
        <w:rPr>
          <w:rFonts w:ascii="Times New Roman" w:hAnsi="Times New Roman" w:cs="Times New Roman"/>
        </w:rPr>
        <w:t xml:space="preserve">o </w:t>
      </w:r>
      <w:r w:rsidR="0079182E" w:rsidRPr="002B76F0">
        <w:rPr>
          <w:rFonts w:ascii="Times New Roman" w:hAnsi="Times New Roman" w:cs="Times New Roman"/>
        </w:rPr>
        <w:t>Rio de Janeiro:</w:t>
      </w:r>
    </w:p>
    <w:p w:rsidR="00580D94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</w:t>
      </w:r>
      <w:r w:rsidR="009267DC" w:rsidRPr="002B76F0">
        <w:rPr>
          <w:rFonts w:ascii="Times New Roman" w:hAnsi="Times New Roman" w:cs="Times New Roman"/>
        </w:rPr>
        <w:t>.1</w:t>
      </w:r>
      <w:r w:rsidR="002F05D6" w:rsidRPr="002B76F0">
        <w:rPr>
          <w:rFonts w:ascii="Times New Roman" w:hAnsi="Times New Roman" w:cs="Times New Roman"/>
        </w:rPr>
        <w:t>)</w:t>
      </w:r>
      <w:proofErr w:type="gramEnd"/>
      <w:r w:rsidR="00580D94" w:rsidRPr="002B76F0">
        <w:rPr>
          <w:rFonts w:ascii="Times New Roman" w:hAnsi="Times New Roman" w:cs="Times New Roman"/>
        </w:rPr>
        <w:t xml:space="preserve"> O fornecedor pode realizar a entrega diretamente no canteiro de obras?</w:t>
      </w:r>
    </w:p>
    <w:p w:rsidR="006976A9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</w:t>
      </w:r>
      <w:r w:rsidR="009267DC" w:rsidRPr="002B76F0">
        <w:rPr>
          <w:rFonts w:ascii="Times New Roman" w:hAnsi="Times New Roman" w:cs="Times New Roman"/>
        </w:rPr>
        <w:t>.2</w:t>
      </w:r>
      <w:r w:rsidR="006976A9" w:rsidRPr="002B76F0">
        <w:rPr>
          <w:rFonts w:ascii="Times New Roman" w:hAnsi="Times New Roman" w:cs="Times New Roman"/>
        </w:rPr>
        <w:t>)</w:t>
      </w:r>
      <w:proofErr w:type="gramEnd"/>
      <w:r w:rsidR="006976A9" w:rsidRPr="002B76F0">
        <w:rPr>
          <w:rFonts w:ascii="Times New Roman" w:hAnsi="Times New Roman" w:cs="Times New Roman"/>
        </w:rPr>
        <w:t xml:space="preserve"> Está correto o entendimento de que se trata de operação interestadual e o DIFAL relativo à EC n.º 87/2015 é devido ao local de destino da mercadoria?</w:t>
      </w:r>
    </w:p>
    <w:p w:rsidR="006976A9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</w:t>
      </w:r>
      <w:r w:rsidR="009267DC" w:rsidRPr="002B76F0">
        <w:rPr>
          <w:rFonts w:ascii="Times New Roman" w:hAnsi="Times New Roman" w:cs="Times New Roman"/>
        </w:rPr>
        <w:t>.3</w:t>
      </w:r>
      <w:r w:rsidR="006976A9" w:rsidRPr="002B76F0">
        <w:rPr>
          <w:rFonts w:ascii="Times New Roman" w:hAnsi="Times New Roman" w:cs="Times New Roman"/>
        </w:rPr>
        <w:t>)</w:t>
      </w:r>
      <w:proofErr w:type="gramEnd"/>
      <w:r w:rsidR="006976A9" w:rsidRPr="002B76F0">
        <w:rPr>
          <w:rFonts w:ascii="Times New Roman" w:hAnsi="Times New Roman" w:cs="Times New Roman"/>
        </w:rPr>
        <w:t xml:space="preserve"> Quem será o responsável pelo pagamento do DIFAL relativo à EC n.º 87/2015?</w:t>
      </w:r>
    </w:p>
    <w:p w:rsidR="006976A9" w:rsidRPr="002B76F0" w:rsidRDefault="00117DA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</w:t>
      </w:r>
      <w:r w:rsidR="009267DC" w:rsidRPr="002B76F0">
        <w:rPr>
          <w:rFonts w:ascii="Times New Roman" w:hAnsi="Times New Roman" w:cs="Times New Roman"/>
        </w:rPr>
        <w:t>.4</w:t>
      </w:r>
      <w:r w:rsidR="006976A9" w:rsidRPr="002B76F0">
        <w:rPr>
          <w:rFonts w:ascii="Times New Roman" w:hAnsi="Times New Roman" w:cs="Times New Roman"/>
        </w:rPr>
        <w:t>)</w:t>
      </w:r>
      <w:proofErr w:type="gramEnd"/>
      <w:r w:rsidR="006976A9" w:rsidRPr="002B76F0">
        <w:rPr>
          <w:rFonts w:ascii="Times New Roman" w:hAnsi="Times New Roman" w:cs="Times New Roman"/>
        </w:rPr>
        <w:t xml:space="preserve"> Quanto à emissão do documento fiscal, o fornecedor deste Estado deve considerar os CFOPs pertinentes às operações interestaduais com não contribuinte, CFOPs 6.107 ou 6.108, por exemplo, e informar os dados do adquirente com o endereço da efetiva entrega, ou seja, a razão social da consulente como destinatária e endereço da obra no campo “Endereço do Destinatário”?</w:t>
      </w:r>
    </w:p>
    <w:p w:rsidR="00F7126E" w:rsidRPr="002B76F0" w:rsidRDefault="00F7126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O processo encontra-se instruído com o comprovante de pagamento da TSE (fls. 26/27-v), a habilitação do signatário da inicial para postular em nome da consulente (fls. 18/25</w:t>
      </w:r>
      <w:r w:rsidR="00F54FFE" w:rsidRPr="002B76F0">
        <w:rPr>
          <w:rFonts w:ascii="Times New Roman" w:hAnsi="Times New Roman" w:cs="Times New Roman"/>
        </w:rPr>
        <w:t>)</w:t>
      </w:r>
      <w:r w:rsidRPr="002B76F0">
        <w:rPr>
          <w:rFonts w:ascii="Times New Roman" w:hAnsi="Times New Roman" w:cs="Times New Roman"/>
        </w:rPr>
        <w:t>, bem como as informações relativas aos incisos I e II do artigo 3º da Resolução SEF n.° 109/76 (fls. 34).</w:t>
      </w:r>
    </w:p>
    <w:p w:rsidR="00F7126E" w:rsidRPr="002B76F0" w:rsidRDefault="00F7126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  <w:r w:rsidRPr="002B76F0">
        <w:rPr>
          <w:rFonts w:ascii="Times New Roman" w:hAnsi="Times New Roman" w:cs="Times New Roman"/>
          <w:b/>
          <w:smallCaps/>
        </w:rPr>
        <w:t>II – Análise</w:t>
      </w:r>
      <w:r w:rsidR="00DB632F" w:rsidRPr="002B76F0">
        <w:rPr>
          <w:rFonts w:ascii="Times New Roman" w:hAnsi="Times New Roman" w:cs="Times New Roman"/>
          <w:b/>
          <w:smallCaps/>
        </w:rPr>
        <w:t xml:space="preserve"> e </w:t>
      </w:r>
      <w:r w:rsidRPr="002B76F0">
        <w:rPr>
          <w:rFonts w:ascii="Times New Roman" w:hAnsi="Times New Roman" w:cs="Times New Roman"/>
          <w:b/>
          <w:smallCaps/>
        </w:rPr>
        <w:t>Fundamentação</w:t>
      </w:r>
      <w:r w:rsidRPr="002B76F0">
        <w:rPr>
          <w:rFonts w:ascii="Times New Roman" w:hAnsi="Times New Roman" w:cs="Times New Roman"/>
          <w:b/>
        </w:rPr>
        <w:t>:</w:t>
      </w:r>
    </w:p>
    <w:p w:rsidR="001D11E2" w:rsidRPr="002B76F0" w:rsidRDefault="001D11E2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 xml:space="preserve">A resposta </w:t>
      </w:r>
      <w:r w:rsidR="00356A67" w:rsidRPr="002B76F0">
        <w:rPr>
          <w:rFonts w:ascii="Times New Roman" w:hAnsi="Times New Roman" w:cs="Times New Roman"/>
        </w:rPr>
        <w:t>objeto do processo n.º E-04/030/937/2016, que internamente recebeu o n</w:t>
      </w:r>
      <w:r w:rsidR="008A6D00" w:rsidRPr="002B76F0">
        <w:rPr>
          <w:rFonts w:ascii="Times New Roman" w:hAnsi="Times New Roman" w:cs="Times New Roman"/>
        </w:rPr>
        <w:t>úmero 132/2016, permanece</w:t>
      </w:r>
      <w:r w:rsidR="00DD7440" w:rsidRPr="002B76F0">
        <w:rPr>
          <w:rFonts w:ascii="Times New Roman" w:hAnsi="Times New Roman" w:cs="Times New Roman"/>
        </w:rPr>
        <w:t xml:space="preserve"> válida como fonte </w:t>
      </w:r>
      <w:r w:rsidR="007120DC" w:rsidRPr="002B76F0">
        <w:rPr>
          <w:rFonts w:ascii="Times New Roman" w:hAnsi="Times New Roman" w:cs="Times New Roman"/>
        </w:rPr>
        <w:t xml:space="preserve">de orientação normativa, pois reflete </w:t>
      </w:r>
      <w:r w:rsidR="00FA455C" w:rsidRPr="002B76F0">
        <w:rPr>
          <w:rFonts w:ascii="Times New Roman" w:hAnsi="Times New Roman" w:cs="Times New Roman"/>
        </w:rPr>
        <w:t xml:space="preserve">o </w:t>
      </w:r>
      <w:r w:rsidR="007120DC" w:rsidRPr="002B76F0">
        <w:rPr>
          <w:rFonts w:ascii="Times New Roman" w:hAnsi="Times New Roman" w:cs="Times New Roman"/>
        </w:rPr>
        <w:t xml:space="preserve">atual entendimento da CCJT </w:t>
      </w:r>
      <w:r w:rsidR="00FA455C" w:rsidRPr="002B76F0">
        <w:rPr>
          <w:rFonts w:ascii="Times New Roman" w:hAnsi="Times New Roman" w:cs="Times New Roman"/>
        </w:rPr>
        <w:t>acerca de dúvidas decorrentes de interpretação da legislação tributária.</w:t>
      </w:r>
    </w:p>
    <w:p w:rsidR="00622AE8" w:rsidRPr="002B76F0" w:rsidRDefault="00622AE8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 xml:space="preserve">Sendo assim, </w:t>
      </w:r>
      <w:r w:rsidR="00285C4E" w:rsidRPr="002B76F0">
        <w:rPr>
          <w:rFonts w:ascii="Times New Roman" w:hAnsi="Times New Roman" w:cs="Times New Roman"/>
        </w:rPr>
        <w:t xml:space="preserve">para embasar as respostas </w:t>
      </w:r>
      <w:proofErr w:type="gramStart"/>
      <w:r w:rsidR="00285C4E" w:rsidRPr="002B76F0">
        <w:rPr>
          <w:rFonts w:ascii="Times New Roman" w:hAnsi="Times New Roman" w:cs="Times New Roman"/>
        </w:rPr>
        <w:t>à</w:t>
      </w:r>
      <w:proofErr w:type="gramEnd"/>
      <w:r w:rsidR="00285C4E" w:rsidRPr="002B76F0">
        <w:rPr>
          <w:rFonts w:ascii="Times New Roman" w:hAnsi="Times New Roman" w:cs="Times New Roman"/>
        </w:rPr>
        <w:t xml:space="preserve"> presente consulta</w:t>
      </w:r>
      <w:r w:rsidR="003615DD" w:rsidRPr="002B76F0">
        <w:rPr>
          <w:rFonts w:ascii="Times New Roman" w:hAnsi="Times New Roman" w:cs="Times New Roman"/>
        </w:rPr>
        <w:t xml:space="preserve"> e </w:t>
      </w:r>
      <w:r w:rsidR="00955BA1" w:rsidRPr="002B76F0">
        <w:rPr>
          <w:rFonts w:ascii="Times New Roman" w:hAnsi="Times New Roman" w:cs="Times New Roman"/>
        </w:rPr>
        <w:t>por sua clareza</w:t>
      </w:r>
      <w:r w:rsidR="00285C4E" w:rsidRPr="002B76F0">
        <w:rPr>
          <w:rFonts w:ascii="Times New Roman" w:hAnsi="Times New Roman" w:cs="Times New Roman"/>
        </w:rPr>
        <w:t>, transcrevermos abaixo trechos da resposta dada no mencionado processo:</w:t>
      </w:r>
    </w:p>
    <w:p w:rsidR="00285C4E" w:rsidRPr="002B76F0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2B76F0">
        <w:rPr>
          <w:rFonts w:ascii="Times New Roman" w:hAnsi="Times New Roman" w:cs="Times New Roman"/>
        </w:rPr>
        <w:lastRenderedPageBreak/>
        <w:t>“</w:t>
      </w:r>
      <w:r w:rsidRPr="002B76F0">
        <w:rPr>
          <w:rFonts w:ascii="Times New Roman" w:hAnsi="Times New Roman" w:cs="Times New Roman"/>
          <w:i/>
        </w:rPr>
        <w:t>A situação objeto da consulta não está, de fato, regulamentada no Rio de Janeiro.</w:t>
      </w:r>
      <w:proofErr w:type="gramStart"/>
      <w:r w:rsidRPr="002B76F0">
        <w:rPr>
          <w:rFonts w:ascii="Times New Roman" w:hAnsi="Times New Roman" w:cs="Times New Roman"/>
          <w:i/>
        </w:rPr>
        <w:t xml:space="preserve"> </w:t>
      </w:r>
      <w:r w:rsidR="00460EEA" w:rsidRPr="002B76F0">
        <w:rPr>
          <w:rFonts w:ascii="Times New Roman" w:hAnsi="Times New Roman" w:cs="Times New Roman"/>
          <w:i/>
        </w:rPr>
        <w:t xml:space="preserve"> </w:t>
      </w:r>
      <w:proofErr w:type="gramEnd"/>
      <w:r w:rsidRPr="002B76F0">
        <w:rPr>
          <w:rFonts w:ascii="Times New Roman" w:hAnsi="Times New Roman" w:cs="Times New Roman"/>
          <w:i/>
        </w:rPr>
        <w:t>Encontramos apenas os seguintes dispositivos de algum modo relacionados ao objeto da consulta: artigo 30 do Anexo XIII, da parte II da Resolução 720/2014 e o parágrafo 5º do artigo 24 do Livro I do RICMS/</w:t>
      </w:r>
      <w:r w:rsidR="00C505D6" w:rsidRPr="002B76F0">
        <w:rPr>
          <w:rFonts w:ascii="Times New Roman" w:hAnsi="Times New Roman" w:cs="Times New Roman"/>
          <w:i/>
        </w:rPr>
        <w:t>00</w:t>
      </w:r>
      <w:r w:rsidRPr="002B76F0">
        <w:rPr>
          <w:rFonts w:ascii="Times New Roman" w:hAnsi="Times New Roman" w:cs="Times New Roman"/>
          <w:i/>
        </w:rPr>
        <w:t xml:space="preserve">, abaixo reproduzidos. </w:t>
      </w:r>
    </w:p>
    <w:p w:rsidR="00285C4E" w:rsidRPr="002B76F0" w:rsidRDefault="0023061B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2B76F0">
        <w:rPr>
          <w:rFonts w:ascii="Times New Roman" w:hAnsi="Times New Roman" w:cs="Times New Roman"/>
          <w:i/>
        </w:rPr>
        <w:t>´</w:t>
      </w:r>
      <w:r w:rsidR="00285C4E" w:rsidRPr="002B76F0">
        <w:rPr>
          <w:rFonts w:ascii="Times New Roman" w:hAnsi="Times New Roman" w:cs="Times New Roman"/>
          <w:i/>
        </w:rPr>
        <w:t>Art. 30. Na hipótese de operação que tenha como destinatário pessoa não contribuinte do imposto, a mercadoria poderá ser entregue neste Estado em local diverso do endereço do destinatário, desde que conste da Nota Fiscal o endereço do local de entrega e a informação de que se trata de “Entrega por ordem do destinatário”.</w:t>
      </w:r>
    </w:p>
    <w:p w:rsidR="00285C4E" w:rsidRPr="001041D8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1041D8">
        <w:rPr>
          <w:rFonts w:ascii="Times New Roman" w:hAnsi="Times New Roman" w:cs="Times New Roman"/>
          <w:i/>
        </w:rPr>
        <w:t>§ 1.º O disposto no caput deste artigo também se aplica:</w:t>
      </w:r>
    </w:p>
    <w:p w:rsidR="00285C4E" w:rsidRPr="002B76F0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2B76F0">
        <w:rPr>
          <w:rFonts w:ascii="Times New Roman" w:hAnsi="Times New Roman" w:cs="Times New Roman"/>
          <w:i/>
        </w:rPr>
        <w:t>I - ao contribuinte do imposto, desde que:</w:t>
      </w:r>
    </w:p>
    <w:p w:rsidR="00285C4E" w:rsidRPr="002B76F0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2B76F0">
        <w:rPr>
          <w:rFonts w:ascii="Times New Roman" w:hAnsi="Times New Roman" w:cs="Times New Roman"/>
          <w:i/>
        </w:rPr>
        <w:t>a) a mercadoria seja entregue a outro estabelecimento da mesma empresa;</w:t>
      </w:r>
    </w:p>
    <w:p w:rsidR="00285C4E" w:rsidRPr="002B76F0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2B76F0">
        <w:rPr>
          <w:rFonts w:ascii="Times New Roman" w:hAnsi="Times New Roman" w:cs="Times New Roman"/>
          <w:i/>
        </w:rPr>
        <w:t>b) o estabelecimento destinatário emita Nota Fiscal de transferência, na qual deverá fazer referência à Nota Fiscal de que trata o caput deste artigo;</w:t>
      </w:r>
    </w:p>
    <w:p w:rsidR="00285C4E" w:rsidRPr="001041D8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1041D8">
        <w:rPr>
          <w:rFonts w:ascii="Times New Roman" w:hAnsi="Times New Roman" w:cs="Times New Roman"/>
          <w:i/>
        </w:rPr>
        <w:t>II - na hipótese de entrega a canteiros de obra de construtoras inscritas no CAD-ICMS.</w:t>
      </w:r>
    </w:p>
    <w:p w:rsidR="00285C4E" w:rsidRPr="002B76F0" w:rsidRDefault="00285C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  <w:lang w:eastAsia="pt-BR"/>
        </w:rPr>
      </w:pPr>
      <w:r w:rsidRPr="002B76F0">
        <w:rPr>
          <w:rFonts w:ascii="Times New Roman" w:hAnsi="Times New Roman" w:cs="Times New Roman"/>
          <w:i/>
        </w:rPr>
        <w:t xml:space="preserve">§ </w:t>
      </w:r>
      <w:proofErr w:type="gramStart"/>
      <w:r w:rsidRPr="002B76F0">
        <w:rPr>
          <w:rFonts w:ascii="Times New Roman" w:hAnsi="Times New Roman" w:cs="Times New Roman"/>
          <w:i/>
        </w:rPr>
        <w:t xml:space="preserve">2.º O disposto neste artigo aplica-se desde que a hipótese não esteja prevista nos Capítulos I, II, IX, XI deste </w:t>
      </w:r>
      <w:r w:rsidRPr="002B76F0">
        <w:rPr>
          <w:rFonts w:ascii="Times New Roman" w:hAnsi="Times New Roman" w:cs="Times New Roman"/>
          <w:i/>
          <w:lang w:eastAsia="pt-BR"/>
        </w:rPr>
        <w:t>Anexo</w:t>
      </w:r>
      <w:r w:rsidR="002D6A98" w:rsidRPr="002B76F0">
        <w:rPr>
          <w:rFonts w:ascii="Times New Roman" w:hAnsi="Times New Roman" w:cs="Times New Roman"/>
          <w:i/>
          <w:lang w:eastAsia="pt-BR"/>
        </w:rPr>
        <w:t>”</w:t>
      </w:r>
      <w:proofErr w:type="gramEnd"/>
      <w:r w:rsidRPr="002B76F0">
        <w:rPr>
          <w:rFonts w:ascii="Times New Roman" w:hAnsi="Times New Roman" w:cs="Times New Roman"/>
          <w:i/>
          <w:lang w:eastAsia="pt-BR"/>
        </w:rPr>
        <w:t>.</w:t>
      </w:r>
    </w:p>
    <w:p w:rsidR="00B037AD" w:rsidRPr="002B76F0" w:rsidRDefault="00DE1013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  <w:lang w:eastAsia="pt-BR"/>
        </w:rPr>
      </w:pPr>
      <w:r w:rsidRPr="002B76F0">
        <w:rPr>
          <w:rFonts w:ascii="Times New Roman" w:hAnsi="Times New Roman" w:cs="Times New Roman"/>
          <w:i/>
          <w:lang w:eastAsia="pt-BR"/>
        </w:rPr>
        <w:t xml:space="preserve">§ 5º, artigo 24, Livro I, do </w:t>
      </w:r>
      <w:r w:rsidR="00B037AD" w:rsidRPr="002B76F0">
        <w:rPr>
          <w:rFonts w:ascii="Times New Roman" w:hAnsi="Times New Roman" w:cs="Times New Roman"/>
          <w:i/>
          <w:lang w:eastAsia="pt-BR"/>
        </w:rPr>
        <w:t xml:space="preserve">RICMS/00, aprovado pelo </w:t>
      </w:r>
      <w:r w:rsidR="002D6A98" w:rsidRPr="002B76F0">
        <w:rPr>
          <w:rFonts w:ascii="Times New Roman" w:hAnsi="Times New Roman" w:cs="Times New Roman"/>
          <w:i/>
        </w:rPr>
        <w:t>Decreto n.º 27.427/00:</w:t>
      </w:r>
    </w:p>
    <w:p w:rsidR="00285C4E" w:rsidRPr="002B76F0" w:rsidRDefault="002D6A98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B76F0">
        <w:rPr>
          <w:rFonts w:ascii="Times New Roman" w:eastAsia="Times New Roman" w:hAnsi="Times New Roman" w:cs="Times New Roman"/>
          <w:i/>
          <w:lang w:eastAsia="ar-SA"/>
        </w:rPr>
        <w:t>“</w:t>
      </w:r>
      <w:r w:rsidR="00285C4E" w:rsidRPr="002B76F0">
        <w:rPr>
          <w:rFonts w:ascii="Times New Roman" w:eastAsia="Times New Roman" w:hAnsi="Times New Roman" w:cs="Times New Roman"/>
          <w:i/>
          <w:lang w:eastAsia="ar-SA"/>
        </w:rPr>
        <w:t xml:space="preserve">§ 5º - Considera-se interna a operação destinada a contribuinte localizado em outro Estado ou no Distrito Federal, ou destinada ao exterior, quando não devidamente comprovada </w:t>
      </w:r>
      <w:proofErr w:type="gramStart"/>
      <w:r w:rsidR="00285C4E" w:rsidRPr="002B76F0">
        <w:rPr>
          <w:rFonts w:ascii="Times New Roman" w:eastAsia="Times New Roman" w:hAnsi="Times New Roman" w:cs="Times New Roman"/>
          <w:i/>
          <w:lang w:eastAsia="ar-SA"/>
        </w:rPr>
        <w:t>a</w:t>
      </w:r>
      <w:proofErr w:type="gramEnd"/>
      <w:r w:rsidR="00285C4E" w:rsidRPr="002B76F0">
        <w:rPr>
          <w:rFonts w:ascii="Times New Roman" w:eastAsia="Times New Roman" w:hAnsi="Times New Roman" w:cs="Times New Roman"/>
          <w:i/>
          <w:lang w:eastAsia="ar-SA"/>
        </w:rPr>
        <w:t xml:space="preserve"> saída da mercadoria do território deste Estado ou sua efetiva exportação</w:t>
      </w:r>
      <w:r w:rsidRPr="002B76F0">
        <w:rPr>
          <w:rFonts w:ascii="Times New Roman" w:eastAsia="Times New Roman" w:hAnsi="Times New Roman" w:cs="Times New Roman"/>
          <w:i/>
          <w:lang w:eastAsia="ar-SA"/>
        </w:rPr>
        <w:t>”</w:t>
      </w:r>
      <w:r w:rsidR="00285C4E" w:rsidRPr="002B76F0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285C4E" w:rsidRPr="002B76F0" w:rsidRDefault="00285C4E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B76F0">
        <w:rPr>
          <w:rFonts w:ascii="Times New Roman" w:eastAsia="Times New Roman" w:hAnsi="Times New Roman" w:cs="Times New Roman"/>
          <w:i/>
          <w:lang w:eastAsia="ar-SA"/>
        </w:rPr>
        <w:t xml:space="preserve">Com a edição da Emenda Constitucional 87/2015, que trouxe a possibilidade de receita tributária para o estado consumidor, relativa a operações interestadual destinada a consumidor final não contribuinte, os estados passaram a estudar o assunto e a maioria deles adotou a tese que se a mercadoria não circulou para fora do seu território, </w:t>
      </w:r>
      <w:proofErr w:type="gramStart"/>
      <w:r w:rsidRPr="002B76F0">
        <w:rPr>
          <w:rFonts w:ascii="Times New Roman" w:eastAsia="Times New Roman" w:hAnsi="Times New Roman" w:cs="Times New Roman"/>
          <w:i/>
          <w:lang w:eastAsia="ar-SA"/>
        </w:rPr>
        <w:t>a</w:t>
      </w:r>
      <w:proofErr w:type="gramEnd"/>
      <w:r w:rsidRPr="002B76F0">
        <w:rPr>
          <w:rFonts w:ascii="Times New Roman" w:eastAsia="Times New Roman" w:hAnsi="Times New Roman" w:cs="Times New Roman"/>
          <w:i/>
          <w:lang w:eastAsia="ar-SA"/>
        </w:rPr>
        <w:t xml:space="preserve"> operação deveria ser considerada interna, ainda que praticada entre contribuintes do imposto. </w:t>
      </w:r>
      <w:r w:rsidR="003502EE" w:rsidRPr="002B76F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gramStart"/>
      <w:r w:rsidRPr="002B76F0">
        <w:rPr>
          <w:rFonts w:ascii="Times New Roman" w:eastAsia="Times New Roman" w:hAnsi="Times New Roman" w:cs="Times New Roman"/>
          <w:b/>
          <w:i/>
          <w:lang w:eastAsia="ar-SA"/>
        </w:rPr>
        <w:t>Deve ser utilizado o mesmo entendimento das vendas presenciais para não contribuintes domiciliados em outras UF, consideradas como operações internas</w:t>
      </w:r>
      <w:r w:rsidR="0023061B" w:rsidRPr="002B76F0">
        <w:rPr>
          <w:rFonts w:ascii="Times New Roman" w:eastAsia="Times New Roman" w:hAnsi="Times New Roman" w:cs="Times New Roman"/>
          <w:i/>
          <w:lang w:eastAsia="ar-SA"/>
        </w:rPr>
        <w:t>”</w:t>
      </w:r>
      <w:proofErr w:type="gramEnd"/>
      <w:r w:rsidR="0023061B" w:rsidRPr="002B76F0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BC1FFF" w:rsidRPr="002B76F0" w:rsidRDefault="00BC1FFF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B76F0">
        <w:rPr>
          <w:rFonts w:ascii="Times New Roman" w:eastAsia="Times New Roman" w:hAnsi="Times New Roman" w:cs="Times New Roman"/>
          <w:lang w:eastAsia="ar-SA"/>
        </w:rPr>
        <w:lastRenderedPageBreak/>
        <w:t xml:space="preserve">O item </w:t>
      </w:r>
      <w:proofErr w:type="gramStart"/>
      <w:r w:rsidRPr="002B76F0">
        <w:rPr>
          <w:rFonts w:ascii="Times New Roman" w:eastAsia="Times New Roman" w:hAnsi="Times New Roman" w:cs="Times New Roman"/>
          <w:lang w:eastAsia="ar-SA"/>
        </w:rPr>
        <w:t>3</w:t>
      </w:r>
      <w:proofErr w:type="gramEnd"/>
      <w:r w:rsidRPr="002B76F0">
        <w:rPr>
          <w:rFonts w:ascii="Times New Roman" w:eastAsia="Times New Roman" w:hAnsi="Times New Roman" w:cs="Times New Roman"/>
          <w:lang w:eastAsia="ar-SA"/>
        </w:rPr>
        <w:t>,</w:t>
      </w:r>
      <w:r w:rsidR="007475CF" w:rsidRPr="002B76F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B76F0">
        <w:rPr>
          <w:rFonts w:ascii="Times New Roman" w:eastAsia="Times New Roman" w:hAnsi="Times New Roman" w:cs="Times New Roman"/>
          <w:lang w:eastAsia="ar-SA"/>
        </w:rPr>
        <w:t xml:space="preserve">§ 4º, </w:t>
      </w:r>
      <w:r w:rsidR="00030B7A" w:rsidRPr="002B76F0">
        <w:rPr>
          <w:rFonts w:ascii="Times New Roman" w:eastAsia="Times New Roman" w:hAnsi="Times New Roman" w:cs="Times New Roman"/>
          <w:lang w:eastAsia="ar-SA"/>
        </w:rPr>
        <w:t xml:space="preserve">do artigo </w:t>
      </w:r>
      <w:r w:rsidRPr="002B76F0">
        <w:rPr>
          <w:rFonts w:ascii="Times New Roman" w:eastAsia="Times New Roman" w:hAnsi="Times New Roman" w:cs="Times New Roman"/>
          <w:lang w:eastAsia="ar-SA"/>
        </w:rPr>
        <w:t>14 do Livro I, incluído pelo D</w:t>
      </w:r>
      <w:r w:rsidR="00030B7A" w:rsidRPr="002B76F0">
        <w:rPr>
          <w:rFonts w:ascii="Times New Roman" w:eastAsia="Times New Roman" w:hAnsi="Times New Roman" w:cs="Times New Roman"/>
          <w:lang w:eastAsia="ar-SA"/>
        </w:rPr>
        <w:t>ecreto n.</w:t>
      </w:r>
      <w:r w:rsidRPr="002B76F0">
        <w:rPr>
          <w:rFonts w:ascii="Times New Roman" w:eastAsia="Times New Roman" w:hAnsi="Times New Roman" w:cs="Times New Roman"/>
          <w:lang w:eastAsia="ar-SA"/>
        </w:rPr>
        <w:t>º 46.374</w:t>
      </w:r>
      <w:r w:rsidR="00192FCB" w:rsidRPr="002B76F0">
        <w:rPr>
          <w:rFonts w:ascii="Times New Roman" w:eastAsia="Times New Roman" w:hAnsi="Times New Roman" w:cs="Times New Roman"/>
          <w:lang w:eastAsia="ar-SA"/>
        </w:rPr>
        <w:t xml:space="preserve">/18 veio consolidar </w:t>
      </w:r>
      <w:r w:rsidR="003502EE" w:rsidRPr="002B76F0">
        <w:rPr>
          <w:rFonts w:ascii="Times New Roman" w:eastAsia="Times New Roman" w:hAnsi="Times New Roman" w:cs="Times New Roman"/>
          <w:lang w:eastAsia="ar-SA"/>
        </w:rPr>
        <w:t xml:space="preserve">este </w:t>
      </w:r>
      <w:r w:rsidR="00192FCB" w:rsidRPr="002B76F0">
        <w:rPr>
          <w:rFonts w:ascii="Times New Roman" w:eastAsia="Times New Roman" w:hAnsi="Times New Roman" w:cs="Times New Roman"/>
          <w:lang w:eastAsia="ar-SA"/>
        </w:rPr>
        <w:t xml:space="preserve">entendimento </w:t>
      </w:r>
      <w:r w:rsidR="003502EE" w:rsidRPr="002B76F0">
        <w:rPr>
          <w:rFonts w:ascii="Times New Roman" w:eastAsia="Times New Roman" w:hAnsi="Times New Roman" w:cs="Times New Roman"/>
          <w:lang w:eastAsia="ar-SA"/>
        </w:rPr>
        <w:t xml:space="preserve">sobre operação interna </w:t>
      </w:r>
      <w:r w:rsidR="00192FCB" w:rsidRPr="002B76F0">
        <w:rPr>
          <w:rFonts w:ascii="Times New Roman" w:eastAsia="Times New Roman" w:hAnsi="Times New Roman" w:cs="Times New Roman"/>
          <w:lang w:eastAsia="ar-SA"/>
        </w:rPr>
        <w:t xml:space="preserve">dispondo que: </w:t>
      </w:r>
    </w:p>
    <w:p w:rsidR="00192FCB" w:rsidRPr="002B76F0" w:rsidRDefault="0010143B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2B76F0">
        <w:rPr>
          <w:rFonts w:ascii="Times New Roman" w:eastAsia="Times New Roman" w:hAnsi="Times New Roman" w:cs="Times New Roman"/>
          <w:i/>
          <w:lang w:eastAsia="ar-SA"/>
        </w:rPr>
        <w:t>“</w:t>
      </w:r>
      <w:r w:rsidR="00192FCB" w:rsidRPr="002B76F0">
        <w:rPr>
          <w:rFonts w:ascii="Times New Roman" w:eastAsia="Times New Roman" w:hAnsi="Times New Roman" w:cs="Times New Roman"/>
          <w:i/>
          <w:lang w:eastAsia="ar-SA"/>
        </w:rPr>
        <w:t>Art. 14.</w:t>
      </w:r>
      <w:proofErr w:type="gramEnd"/>
      <w:r w:rsidR="00192FCB" w:rsidRPr="002B76F0">
        <w:rPr>
          <w:rFonts w:ascii="Times New Roman" w:eastAsia="Times New Roman" w:hAnsi="Times New Roman" w:cs="Times New Roman"/>
          <w:i/>
          <w:lang w:eastAsia="ar-SA"/>
        </w:rPr>
        <w:t xml:space="preserve"> A alíquota do imposto é:</w:t>
      </w:r>
    </w:p>
    <w:p w:rsidR="00BC1FFF" w:rsidRPr="002B76F0" w:rsidRDefault="007475CF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2B76F0">
        <w:rPr>
          <w:rFonts w:ascii="Times New Roman" w:eastAsia="Times New Roman" w:hAnsi="Times New Roman" w:cs="Times New Roman"/>
          <w:i/>
          <w:lang w:eastAsia="ar-SA"/>
        </w:rPr>
        <w:t>..................................</w:t>
      </w:r>
      <w:proofErr w:type="gramEnd"/>
    </w:p>
    <w:p w:rsidR="00030B7A" w:rsidRPr="002B76F0" w:rsidRDefault="00030B7A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B76F0">
        <w:rPr>
          <w:rFonts w:ascii="Times New Roman" w:eastAsia="Times New Roman" w:hAnsi="Times New Roman" w:cs="Times New Roman"/>
          <w:i/>
          <w:lang w:eastAsia="ar-SA"/>
        </w:rPr>
        <w:t>§ 4.º Considera-se operação interna:</w:t>
      </w:r>
    </w:p>
    <w:p w:rsidR="00030B7A" w:rsidRPr="002B76F0" w:rsidRDefault="00030B7A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B76F0">
        <w:rPr>
          <w:rFonts w:ascii="Times New Roman" w:eastAsia="Times New Roman" w:hAnsi="Times New Roman" w:cs="Times New Roman"/>
          <w:i/>
          <w:lang w:eastAsia="ar-SA"/>
        </w:rPr>
        <w:t xml:space="preserve">1. </w:t>
      </w:r>
      <w:proofErr w:type="gramStart"/>
      <w:r w:rsidRPr="002B76F0">
        <w:rPr>
          <w:rFonts w:ascii="Times New Roman" w:eastAsia="Times New Roman" w:hAnsi="Times New Roman" w:cs="Times New Roman"/>
          <w:i/>
          <w:lang w:eastAsia="ar-SA"/>
        </w:rPr>
        <w:t>aquela</w:t>
      </w:r>
      <w:proofErr w:type="gramEnd"/>
      <w:r w:rsidRPr="002B76F0">
        <w:rPr>
          <w:rFonts w:ascii="Times New Roman" w:eastAsia="Times New Roman" w:hAnsi="Times New Roman" w:cs="Times New Roman"/>
          <w:i/>
          <w:lang w:eastAsia="ar-SA"/>
        </w:rPr>
        <w:t xml:space="preserve"> em que remetente e destinatário estejam situados neste Estado;</w:t>
      </w:r>
    </w:p>
    <w:p w:rsidR="00030B7A" w:rsidRPr="002B76F0" w:rsidRDefault="00030B7A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B76F0">
        <w:rPr>
          <w:rFonts w:ascii="Times New Roman" w:eastAsia="Times New Roman" w:hAnsi="Times New Roman" w:cs="Times New Roman"/>
          <w:i/>
          <w:lang w:eastAsia="ar-SA"/>
        </w:rPr>
        <w:t xml:space="preserve">2. </w:t>
      </w:r>
      <w:proofErr w:type="gramStart"/>
      <w:r w:rsidRPr="002B76F0">
        <w:rPr>
          <w:rFonts w:ascii="Times New Roman" w:eastAsia="Times New Roman" w:hAnsi="Times New Roman" w:cs="Times New Roman"/>
          <w:i/>
          <w:lang w:eastAsia="ar-SA"/>
        </w:rPr>
        <w:t>o</w:t>
      </w:r>
      <w:proofErr w:type="gramEnd"/>
      <w:r w:rsidRPr="002B76F0">
        <w:rPr>
          <w:rFonts w:ascii="Times New Roman" w:eastAsia="Times New Roman" w:hAnsi="Times New Roman" w:cs="Times New Roman"/>
          <w:i/>
          <w:lang w:eastAsia="ar-SA"/>
        </w:rPr>
        <w:t xml:space="preserve"> recebimento, pelo importador, de mercadoria proveniente do exterior.</w:t>
      </w:r>
    </w:p>
    <w:p w:rsidR="00030B7A" w:rsidRPr="002B76F0" w:rsidRDefault="00030B7A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B76F0">
        <w:rPr>
          <w:rFonts w:ascii="Times New Roman" w:eastAsia="Times New Roman" w:hAnsi="Times New Roman" w:cs="Times New Roman"/>
          <w:b/>
          <w:i/>
          <w:lang w:eastAsia="ar-SA"/>
        </w:rPr>
        <w:t xml:space="preserve">3. </w:t>
      </w:r>
      <w:proofErr w:type="gramStart"/>
      <w:r w:rsidRPr="002B76F0">
        <w:rPr>
          <w:rFonts w:ascii="Times New Roman" w:eastAsia="Times New Roman" w:hAnsi="Times New Roman" w:cs="Times New Roman"/>
          <w:b/>
          <w:i/>
          <w:lang w:eastAsia="ar-SA"/>
        </w:rPr>
        <w:t>aquela</w:t>
      </w:r>
      <w:proofErr w:type="gramEnd"/>
      <w:r w:rsidRPr="002B76F0">
        <w:rPr>
          <w:rFonts w:ascii="Times New Roman" w:eastAsia="Times New Roman" w:hAnsi="Times New Roman" w:cs="Times New Roman"/>
          <w:b/>
          <w:i/>
          <w:lang w:eastAsia="ar-SA"/>
        </w:rPr>
        <w:t xml:space="preserve"> em que as mercadorias são entregues a consumidor final não contribuinte do imposto no território deste Estado, independentemente do seu domicílio ou da sua eventual inscrição no Cadastro de Contribuintes do ICMS de outra Unidade Federada</w:t>
      </w:r>
      <w:r w:rsidR="009E4A91" w:rsidRPr="002B76F0">
        <w:rPr>
          <w:rFonts w:ascii="Times New Roman" w:eastAsia="Times New Roman" w:hAnsi="Times New Roman" w:cs="Times New Roman"/>
          <w:i/>
          <w:lang w:eastAsia="ar-SA"/>
        </w:rPr>
        <w:t>”</w:t>
      </w:r>
      <w:r w:rsidRPr="002B76F0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302153" w:rsidRPr="002B76F0" w:rsidRDefault="009E4A91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B76F0">
        <w:rPr>
          <w:rFonts w:ascii="Times New Roman" w:eastAsia="Times New Roman" w:hAnsi="Times New Roman" w:cs="Times New Roman"/>
          <w:lang w:eastAsia="ar-SA"/>
        </w:rPr>
        <w:t>C</w:t>
      </w:r>
      <w:r w:rsidR="00302153" w:rsidRPr="002B76F0">
        <w:rPr>
          <w:rFonts w:ascii="Times New Roman" w:eastAsia="Times New Roman" w:hAnsi="Times New Roman" w:cs="Times New Roman"/>
          <w:lang w:eastAsia="ar-SA"/>
        </w:rPr>
        <w:t>om base na legislação e entendimento acima transcritos</w:t>
      </w:r>
      <w:r w:rsidR="00971D98" w:rsidRPr="002B76F0">
        <w:rPr>
          <w:rFonts w:ascii="Times New Roman" w:eastAsia="Times New Roman" w:hAnsi="Times New Roman" w:cs="Times New Roman"/>
          <w:lang w:eastAsia="ar-SA"/>
        </w:rPr>
        <w:t xml:space="preserve"> elaboramos a seguinte</w:t>
      </w:r>
      <w:r w:rsidR="00302153" w:rsidRPr="002B76F0">
        <w:rPr>
          <w:rFonts w:ascii="Times New Roman" w:eastAsia="Times New Roman" w:hAnsi="Times New Roman" w:cs="Times New Roman"/>
          <w:lang w:eastAsia="ar-SA"/>
        </w:rPr>
        <w:t>;</w:t>
      </w:r>
    </w:p>
    <w:p w:rsidR="00302153" w:rsidRPr="002B76F0" w:rsidRDefault="00302153" w:rsidP="002B76F0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B76F0">
        <w:rPr>
          <w:rFonts w:ascii="Times New Roman" w:hAnsi="Times New Roman" w:cs="Times New Roman"/>
          <w:b/>
          <w:smallCaps/>
        </w:rPr>
        <w:t>III – Resposta:</w:t>
      </w:r>
    </w:p>
    <w:p w:rsidR="00285C4E" w:rsidRPr="002B76F0" w:rsidRDefault="00302153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1.1)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F2380A" w:rsidRPr="002B76F0">
        <w:rPr>
          <w:rFonts w:ascii="Times New Roman" w:hAnsi="Times New Roman" w:cs="Times New Roman"/>
        </w:rPr>
        <w:t xml:space="preserve">Sim.  </w:t>
      </w:r>
      <w:r w:rsidR="009F2101" w:rsidRPr="002B76F0">
        <w:rPr>
          <w:rFonts w:ascii="Times New Roman" w:hAnsi="Times New Roman" w:cs="Times New Roman"/>
        </w:rPr>
        <w:t xml:space="preserve">A </w:t>
      </w:r>
      <w:r w:rsidR="00F2380A" w:rsidRPr="002B76F0">
        <w:rPr>
          <w:rFonts w:ascii="Times New Roman" w:hAnsi="Times New Roman" w:cs="Times New Roman"/>
        </w:rPr>
        <w:t>entrega de mercadoria por ordem de empresa de construção civil sediada em outra unidade da Federação</w:t>
      </w:r>
      <w:r w:rsidR="009F2101" w:rsidRPr="002B76F0">
        <w:rPr>
          <w:rFonts w:ascii="Times New Roman" w:hAnsi="Times New Roman" w:cs="Times New Roman"/>
        </w:rPr>
        <w:t xml:space="preserve"> </w:t>
      </w:r>
      <w:r w:rsidR="00F2380A" w:rsidRPr="002B76F0">
        <w:rPr>
          <w:rFonts w:ascii="Times New Roman" w:hAnsi="Times New Roman" w:cs="Times New Roman"/>
        </w:rPr>
        <w:t>diretamente em canteiro de obra localizado no Estado do Rio de Janeiro</w:t>
      </w:r>
      <w:r w:rsidR="002C3798" w:rsidRPr="002B76F0">
        <w:rPr>
          <w:rFonts w:ascii="Times New Roman" w:hAnsi="Times New Roman" w:cs="Times New Roman"/>
        </w:rPr>
        <w:t xml:space="preserve"> é considerada operação interna, devendo o fornecedor fluminense utilizar a alíquota interna aplicável à mercadoria.</w:t>
      </w:r>
    </w:p>
    <w:p w:rsidR="002C3798" w:rsidRPr="002B76F0" w:rsidRDefault="009370E5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</w:t>
      </w:r>
      <w:r w:rsidR="002C3798" w:rsidRPr="002B76F0">
        <w:rPr>
          <w:rFonts w:ascii="Times New Roman" w:hAnsi="Times New Roman" w:cs="Times New Roman"/>
        </w:rPr>
        <w:t>.2)</w:t>
      </w:r>
      <w:proofErr w:type="gramEnd"/>
      <w:r w:rsidR="002C3798" w:rsidRPr="002B76F0">
        <w:rPr>
          <w:rFonts w:ascii="Times New Roman" w:hAnsi="Times New Roman" w:cs="Times New Roman"/>
        </w:rPr>
        <w:t xml:space="preserve"> </w:t>
      </w:r>
      <w:r w:rsidR="00183551" w:rsidRPr="002B76F0">
        <w:rPr>
          <w:rFonts w:ascii="Times New Roman" w:hAnsi="Times New Roman" w:cs="Times New Roman"/>
        </w:rPr>
        <w:t>Sim</w:t>
      </w:r>
      <w:r w:rsidR="008D2832" w:rsidRPr="002B76F0">
        <w:rPr>
          <w:rFonts w:ascii="Times New Roman" w:hAnsi="Times New Roman" w:cs="Times New Roman"/>
        </w:rPr>
        <w:t xml:space="preserve">. Considerando que a consulente, empresa de construção civil, </w:t>
      </w:r>
      <w:r w:rsidR="00777F12">
        <w:rPr>
          <w:rFonts w:ascii="Times New Roman" w:hAnsi="Times New Roman" w:cs="Times New Roman"/>
        </w:rPr>
        <w:t xml:space="preserve">não é </w:t>
      </w:r>
      <w:r w:rsidR="008D2832" w:rsidRPr="002B76F0">
        <w:rPr>
          <w:rFonts w:ascii="Times New Roman" w:hAnsi="Times New Roman" w:cs="Times New Roman"/>
        </w:rPr>
        <w:t>inscrita no Cadastro de Contribuintes do ICMS</w:t>
      </w:r>
      <w:r w:rsidR="00FF4E4F">
        <w:rPr>
          <w:rFonts w:ascii="Times New Roman" w:hAnsi="Times New Roman" w:cs="Times New Roman"/>
        </w:rPr>
        <w:t xml:space="preserve"> do Estado do Rio de Janeiro</w:t>
      </w:r>
      <w:r w:rsidR="008D2832" w:rsidRPr="002B76F0">
        <w:rPr>
          <w:rFonts w:ascii="Times New Roman" w:hAnsi="Times New Roman" w:cs="Times New Roman"/>
        </w:rPr>
        <w:t xml:space="preserve">, </w:t>
      </w:r>
      <w:r w:rsidR="00183551" w:rsidRPr="002B76F0">
        <w:rPr>
          <w:rFonts w:ascii="Times New Roman" w:hAnsi="Times New Roman" w:cs="Times New Roman"/>
        </w:rPr>
        <w:t xml:space="preserve">o fornecedor fluminense </w:t>
      </w:r>
      <w:r w:rsidR="00FF5C86" w:rsidRPr="002B76F0">
        <w:rPr>
          <w:rFonts w:ascii="Times New Roman" w:hAnsi="Times New Roman" w:cs="Times New Roman"/>
        </w:rPr>
        <w:t xml:space="preserve">pode </w:t>
      </w:r>
      <w:r w:rsidR="00183551" w:rsidRPr="002B76F0">
        <w:rPr>
          <w:rFonts w:ascii="Times New Roman" w:hAnsi="Times New Roman" w:cs="Times New Roman"/>
        </w:rPr>
        <w:t>proceder de acordo com o caput do artigo 30, Anexo XIII, Parte II</w:t>
      </w:r>
      <w:r w:rsidR="00017C90" w:rsidRPr="002B76F0">
        <w:rPr>
          <w:rFonts w:ascii="Times New Roman" w:hAnsi="Times New Roman" w:cs="Times New Roman"/>
        </w:rPr>
        <w:t>,</w:t>
      </w:r>
      <w:r w:rsidR="00BF61EF">
        <w:rPr>
          <w:rFonts w:ascii="Times New Roman" w:hAnsi="Times New Roman" w:cs="Times New Roman"/>
        </w:rPr>
        <w:t xml:space="preserve"> da Resolução SEFAZ n.º 720/14</w:t>
      </w:r>
      <w:r w:rsidR="00017C90" w:rsidRPr="002B76F0">
        <w:rPr>
          <w:rFonts w:ascii="Times New Roman" w:hAnsi="Times New Roman" w:cs="Times New Roman"/>
        </w:rPr>
        <w:t>.</w:t>
      </w:r>
    </w:p>
    <w:p w:rsidR="00277AA4" w:rsidRPr="002B76F0" w:rsidRDefault="00277AA4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1.3)</w:t>
      </w:r>
      <w:proofErr w:type="gramEnd"/>
      <w:r w:rsidR="00214A9C" w:rsidRPr="002B76F0">
        <w:rPr>
          <w:rFonts w:ascii="Times New Roman" w:hAnsi="Times New Roman" w:cs="Times New Roman"/>
        </w:rPr>
        <w:t xml:space="preserve"> </w:t>
      </w:r>
      <w:r w:rsidR="009370E5" w:rsidRPr="002B76F0">
        <w:rPr>
          <w:rFonts w:ascii="Times New Roman" w:hAnsi="Times New Roman" w:cs="Times New Roman"/>
        </w:rPr>
        <w:t>Respondida no subitem anterior,</w:t>
      </w:r>
      <w:r w:rsidR="003E4A98" w:rsidRPr="002B76F0">
        <w:rPr>
          <w:rFonts w:ascii="Times New Roman" w:hAnsi="Times New Roman" w:cs="Times New Roman"/>
        </w:rPr>
        <w:t xml:space="preserve"> estando correta a utilização dos CFOPs 5</w:t>
      </w:r>
      <w:r w:rsidR="00A549EF" w:rsidRPr="002B76F0">
        <w:rPr>
          <w:rFonts w:ascii="Times New Roman" w:hAnsi="Times New Roman" w:cs="Times New Roman"/>
        </w:rPr>
        <w:t>.101 ou 5.102 pelo fornecedor fluminense.</w:t>
      </w:r>
    </w:p>
    <w:p w:rsidR="00ED041D" w:rsidRPr="002B76F0" w:rsidRDefault="003E4A98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1.4)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116ED0">
        <w:rPr>
          <w:rFonts w:ascii="Times New Roman" w:hAnsi="Times New Roman" w:cs="Times New Roman"/>
        </w:rPr>
        <w:t xml:space="preserve">Sim. Considerando se tratar de operação </w:t>
      </w:r>
      <w:r w:rsidR="005344E9" w:rsidRPr="002B76F0">
        <w:rPr>
          <w:rFonts w:ascii="Times New Roman" w:hAnsi="Times New Roman" w:cs="Times New Roman"/>
        </w:rPr>
        <w:t xml:space="preserve">interna não </w:t>
      </w:r>
      <w:r w:rsidR="00EF2EA2" w:rsidRPr="002B76F0">
        <w:rPr>
          <w:rFonts w:ascii="Times New Roman" w:hAnsi="Times New Roman" w:cs="Times New Roman"/>
        </w:rPr>
        <w:t xml:space="preserve">há que se falar em </w:t>
      </w:r>
      <w:r w:rsidR="00AE3230">
        <w:rPr>
          <w:rFonts w:ascii="Times New Roman" w:hAnsi="Times New Roman" w:cs="Times New Roman"/>
        </w:rPr>
        <w:t>diferencial de alíquotas</w:t>
      </w:r>
      <w:proofErr w:type="gramStart"/>
      <w:r w:rsidR="00AE3230">
        <w:rPr>
          <w:rFonts w:ascii="Times New Roman" w:hAnsi="Times New Roman" w:cs="Times New Roman"/>
        </w:rPr>
        <w:t>.</w:t>
      </w:r>
      <w:r w:rsidR="00ED041D" w:rsidRPr="002B76F0">
        <w:rPr>
          <w:rFonts w:ascii="Times New Roman" w:hAnsi="Times New Roman" w:cs="Times New Roman"/>
        </w:rPr>
        <w:t>.</w:t>
      </w:r>
      <w:proofErr w:type="gramEnd"/>
    </w:p>
    <w:p w:rsidR="000C5711" w:rsidRPr="002B76F0" w:rsidRDefault="00ED041D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lastRenderedPageBreak/>
        <w:t>2</w:t>
      </w:r>
      <w:r w:rsidR="00B7658E" w:rsidRPr="002B76F0">
        <w:rPr>
          <w:rFonts w:ascii="Times New Roman" w:hAnsi="Times New Roman" w:cs="Times New Roman"/>
        </w:rPr>
        <w:t>.1</w:t>
      </w:r>
      <w:r w:rsidRPr="002B76F0">
        <w:rPr>
          <w:rFonts w:ascii="Times New Roman" w:hAnsi="Times New Roman" w:cs="Times New Roman"/>
        </w:rPr>
        <w:t>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FA2A14" w:rsidRPr="002B76F0">
        <w:rPr>
          <w:rFonts w:ascii="Times New Roman" w:hAnsi="Times New Roman" w:cs="Times New Roman"/>
        </w:rPr>
        <w:t>De acordo como o subitem 7.02 da Lista Anexa à Lei Complementar nº 116/03, que dispõe sobre o Imposto sobre Serviços de Qualquer natureza - ISSQN, de competência dos municípios e do DF, es</w:t>
      </w:r>
      <w:r w:rsidR="00116ED0">
        <w:rPr>
          <w:rFonts w:ascii="Times New Roman" w:hAnsi="Times New Roman" w:cs="Times New Roman"/>
        </w:rPr>
        <w:t xml:space="preserve">tão </w:t>
      </w:r>
      <w:r w:rsidR="00FA2A14" w:rsidRPr="002B76F0">
        <w:rPr>
          <w:rFonts w:ascii="Times New Roman" w:hAnsi="Times New Roman" w:cs="Times New Roman"/>
        </w:rPr>
        <w:t>sujeit</w:t>
      </w:r>
      <w:r w:rsidR="00116ED0">
        <w:rPr>
          <w:rFonts w:ascii="Times New Roman" w:hAnsi="Times New Roman" w:cs="Times New Roman"/>
        </w:rPr>
        <w:t xml:space="preserve">os </w:t>
      </w:r>
      <w:r w:rsidR="00FA2A14" w:rsidRPr="002B76F0">
        <w:rPr>
          <w:rFonts w:ascii="Times New Roman" w:hAnsi="Times New Roman" w:cs="Times New Roman"/>
        </w:rPr>
        <w:t>ao ISSQN a "</w:t>
      </w:r>
      <w:r w:rsidR="00FA2A14" w:rsidRPr="00B65878">
        <w:rPr>
          <w:rFonts w:ascii="Times New Roman" w:hAnsi="Times New Roman" w:cs="Times New Roman"/>
          <w:i/>
        </w:rPr>
        <w:t>execução, por administração, empreitada ou subempreitada, de obras de construção civil, hidráulica ou elétrica e de outras obras semelhantes, inclusive sondagem, perfuração de poços, escavação, drenagem e irrigação, terraplanagem, pavimentação, concretagem e a instalação e montagem de produtos, peças e equipamentos, EXCETO o fornecimento de mercadorias produzidas pelo prestador de serviços FORA do local da prestação dos serviços, que fica sujeito ao ICMS</w:t>
      </w:r>
      <w:r w:rsidR="00B65878" w:rsidRPr="00B65878">
        <w:rPr>
          <w:rFonts w:ascii="Times New Roman" w:hAnsi="Times New Roman" w:cs="Times New Roman"/>
          <w:i/>
        </w:rPr>
        <w:t>”</w:t>
      </w:r>
      <w:r w:rsidR="00FA2A14" w:rsidRPr="002B76F0">
        <w:rPr>
          <w:rFonts w:ascii="Times New Roman" w:hAnsi="Times New Roman" w:cs="Times New Roman"/>
        </w:rPr>
        <w:t xml:space="preserve">.  </w:t>
      </w:r>
    </w:p>
    <w:p w:rsidR="003E0BA3" w:rsidRDefault="00FA2A14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 xml:space="preserve">O canteiro de obra é o local onde ocorre a prestação do serviço sujeito ao ISSQN, o que demanda uma </w:t>
      </w:r>
      <w:r w:rsidR="00CD15E4" w:rsidRPr="002B76F0">
        <w:rPr>
          <w:rFonts w:ascii="Times New Roman" w:hAnsi="Times New Roman" w:cs="Times New Roman"/>
        </w:rPr>
        <w:t>Inscrição</w:t>
      </w:r>
      <w:r w:rsidRPr="002B76F0">
        <w:rPr>
          <w:rFonts w:ascii="Times New Roman" w:hAnsi="Times New Roman" w:cs="Times New Roman"/>
        </w:rPr>
        <w:t xml:space="preserve"> M</w:t>
      </w:r>
      <w:r w:rsidR="00CD15E4" w:rsidRPr="002B76F0">
        <w:rPr>
          <w:rFonts w:ascii="Times New Roman" w:hAnsi="Times New Roman" w:cs="Times New Roman"/>
        </w:rPr>
        <w:t>unicipal</w:t>
      </w:r>
      <w:r w:rsidRPr="002B76F0">
        <w:rPr>
          <w:rFonts w:ascii="Times New Roman" w:hAnsi="Times New Roman" w:cs="Times New Roman"/>
        </w:rPr>
        <w:t xml:space="preserve">.  </w:t>
      </w:r>
      <w:r w:rsidR="000C5711" w:rsidRPr="002B76F0">
        <w:rPr>
          <w:rFonts w:ascii="Times New Roman" w:hAnsi="Times New Roman" w:cs="Times New Roman"/>
        </w:rPr>
        <w:t xml:space="preserve">Assim, considerando </w:t>
      </w:r>
      <w:r w:rsidR="00DD6355" w:rsidRPr="002B76F0">
        <w:rPr>
          <w:rFonts w:ascii="Times New Roman" w:hAnsi="Times New Roman" w:cs="Times New Roman"/>
        </w:rPr>
        <w:t xml:space="preserve">a ausência de </w:t>
      </w:r>
      <w:r w:rsidR="00940E30">
        <w:rPr>
          <w:rFonts w:ascii="Times New Roman" w:hAnsi="Times New Roman" w:cs="Times New Roman"/>
        </w:rPr>
        <w:t xml:space="preserve">normas </w:t>
      </w:r>
      <w:r w:rsidR="00DD6355" w:rsidRPr="002B76F0">
        <w:rPr>
          <w:rFonts w:ascii="Times New Roman" w:hAnsi="Times New Roman" w:cs="Times New Roman"/>
        </w:rPr>
        <w:t xml:space="preserve">específicas </w:t>
      </w:r>
      <w:r w:rsidR="00940E30">
        <w:rPr>
          <w:rFonts w:ascii="Times New Roman" w:hAnsi="Times New Roman" w:cs="Times New Roman"/>
        </w:rPr>
        <w:t xml:space="preserve">relativas à </w:t>
      </w:r>
      <w:r w:rsidR="00DD6355" w:rsidRPr="002B76F0">
        <w:rPr>
          <w:rFonts w:ascii="Times New Roman" w:hAnsi="Times New Roman" w:cs="Times New Roman"/>
        </w:rPr>
        <w:t xml:space="preserve">emissão de documentos </w:t>
      </w:r>
      <w:proofErr w:type="gramStart"/>
      <w:r w:rsidR="00DD6355" w:rsidRPr="002B76F0">
        <w:rPr>
          <w:rFonts w:ascii="Times New Roman" w:hAnsi="Times New Roman" w:cs="Times New Roman"/>
        </w:rPr>
        <w:t xml:space="preserve">fiscais no caso </w:t>
      </w:r>
      <w:r w:rsidR="00940E30">
        <w:rPr>
          <w:rFonts w:ascii="Times New Roman" w:hAnsi="Times New Roman" w:cs="Times New Roman"/>
        </w:rPr>
        <w:t>ora considerado</w:t>
      </w:r>
      <w:proofErr w:type="gramEnd"/>
      <w:r w:rsidR="00DD6355" w:rsidRPr="002B76F0">
        <w:rPr>
          <w:rFonts w:ascii="Times New Roman" w:hAnsi="Times New Roman" w:cs="Times New Roman"/>
        </w:rPr>
        <w:t xml:space="preserve">, </w:t>
      </w:r>
      <w:r w:rsidR="00940E30">
        <w:rPr>
          <w:rFonts w:ascii="Times New Roman" w:hAnsi="Times New Roman" w:cs="Times New Roman"/>
        </w:rPr>
        <w:t xml:space="preserve">é entendimento desta CCT que </w:t>
      </w:r>
      <w:r w:rsidR="00A15B47">
        <w:rPr>
          <w:rFonts w:ascii="Times New Roman" w:hAnsi="Times New Roman" w:cs="Times New Roman"/>
        </w:rPr>
        <w:t xml:space="preserve">a NF-e, modelo 55, </w:t>
      </w:r>
      <w:r w:rsidR="001F5FF7">
        <w:rPr>
          <w:rFonts w:ascii="Times New Roman" w:hAnsi="Times New Roman" w:cs="Times New Roman"/>
        </w:rPr>
        <w:t xml:space="preserve">a ser emitida pelo fornecedor fluminense </w:t>
      </w:r>
      <w:r w:rsidR="00EB5AF3" w:rsidRPr="002B76F0">
        <w:rPr>
          <w:rFonts w:ascii="Times New Roman" w:hAnsi="Times New Roman" w:cs="Times New Roman"/>
        </w:rPr>
        <w:t>deve ser em nome do canteiro de obras</w:t>
      </w:r>
      <w:r w:rsidR="0018640D">
        <w:rPr>
          <w:rFonts w:ascii="Times New Roman" w:hAnsi="Times New Roman" w:cs="Times New Roman"/>
        </w:rPr>
        <w:t xml:space="preserve">, </w:t>
      </w:r>
      <w:r w:rsidR="00EB5AF3" w:rsidRPr="002B76F0">
        <w:rPr>
          <w:rFonts w:ascii="Times New Roman" w:hAnsi="Times New Roman" w:cs="Times New Roman"/>
        </w:rPr>
        <w:t xml:space="preserve">localizado em outra unidade da Federação, </w:t>
      </w:r>
      <w:r w:rsidR="00EC6F95">
        <w:rPr>
          <w:rFonts w:ascii="Times New Roman" w:hAnsi="Times New Roman" w:cs="Times New Roman"/>
        </w:rPr>
        <w:t xml:space="preserve">com base nos dados </w:t>
      </w:r>
      <w:r w:rsidR="00EB5AF3" w:rsidRPr="002B76F0">
        <w:rPr>
          <w:rFonts w:ascii="Times New Roman" w:hAnsi="Times New Roman" w:cs="Times New Roman"/>
        </w:rPr>
        <w:t xml:space="preserve">da </w:t>
      </w:r>
      <w:r w:rsidR="004E7E13" w:rsidRPr="002B76F0">
        <w:rPr>
          <w:rFonts w:ascii="Times New Roman" w:hAnsi="Times New Roman" w:cs="Times New Roman"/>
        </w:rPr>
        <w:t xml:space="preserve">sua </w:t>
      </w:r>
      <w:r w:rsidR="00452384">
        <w:rPr>
          <w:rFonts w:ascii="Times New Roman" w:hAnsi="Times New Roman" w:cs="Times New Roman"/>
        </w:rPr>
        <w:t>Inscrição Municipa</w:t>
      </w:r>
      <w:r w:rsidR="00EC6F95">
        <w:rPr>
          <w:rFonts w:ascii="Times New Roman" w:hAnsi="Times New Roman" w:cs="Times New Roman"/>
        </w:rPr>
        <w:t>l, e</w:t>
      </w:r>
      <w:r w:rsidR="00EB5AF3" w:rsidRPr="002B76F0">
        <w:rPr>
          <w:rFonts w:ascii="Times New Roman" w:hAnsi="Times New Roman" w:cs="Times New Roman"/>
        </w:rPr>
        <w:t xml:space="preserve">, </w:t>
      </w:r>
      <w:r w:rsidR="00EC6F95">
        <w:rPr>
          <w:rFonts w:ascii="Times New Roman" w:hAnsi="Times New Roman" w:cs="Times New Roman"/>
        </w:rPr>
        <w:t>no campo “</w:t>
      </w:r>
      <w:r w:rsidR="003A517F">
        <w:rPr>
          <w:rFonts w:ascii="Times New Roman" w:hAnsi="Times New Roman" w:cs="Times New Roman"/>
        </w:rPr>
        <w:t>Informações Complementares</w:t>
      </w:r>
      <w:r w:rsidR="00EC6F95">
        <w:rPr>
          <w:rFonts w:ascii="Times New Roman" w:hAnsi="Times New Roman" w:cs="Times New Roman"/>
        </w:rPr>
        <w:t xml:space="preserve">” </w:t>
      </w:r>
      <w:r w:rsidR="00906D98">
        <w:rPr>
          <w:rFonts w:ascii="Times New Roman" w:hAnsi="Times New Roman" w:cs="Times New Roman"/>
        </w:rPr>
        <w:t>os</w:t>
      </w:r>
      <w:r w:rsidR="00EC6F95">
        <w:rPr>
          <w:rFonts w:ascii="Times New Roman" w:hAnsi="Times New Roman" w:cs="Times New Roman"/>
        </w:rPr>
        <w:t xml:space="preserve"> </w:t>
      </w:r>
      <w:r w:rsidR="007E0092">
        <w:rPr>
          <w:rFonts w:ascii="Times New Roman" w:hAnsi="Times New Roman" w:cs="Times New Roman"/>
        </w:rPr>
        <w:t>dados da empresa construtora responsável pela execução da obra</w:t>
      </w:r>
      <w:r w:rsidR="001F5FF7">
        <w:rPr>
          <w:rFonts w:ascii="Times New Roman" w:hAnsi="Times New Roman" w:cs="Times New Roman"/>
        </w:rPr>
        <w:t>,</w:t>
      </w:r>
      <w:r w:rsidR="00CD15E4">
        <w:rPr>
          <w:rFonts w:ascii="Times New Roman" w:hAnsi="Times New Roman" w:cs="Times New Roman"/>
        </w:rPr>
        <w:t xml:space="preserve"> </w:t>
      </w:r>
      <w:r w:rsidR="00F613C2">
        <w:rPr>
          <w:rFonts w:ascii="Times New Roman" w:hAnsi="Times New Roman" w:cs="Times New Roman"/>
        </w:rPr>
        <w:t>com informações sobre a operação</w:t>
      </w:r>
      <w:r w:rsidR="00542F6E">
        <w:rPr>
          <w:rFonts w:ascii="Times New Roman" w:hAnsi="Times New Roman" w:cs="Times New Roman"/>
        </w:rPr>
        <w:t>.</w:t>
      </w:r>
    </w:p>
    <w:p w:rsidR="00DD524E" w:rsidRDefault="00F613C2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Cabe acrescentar que, n</w:t>
      </w:r>
      <w:r w:rsidR="00542F6E">
        <w:rPr>
          <w:rFonts w:ascii="Times New Roman" w:hAnsi="Times New Roman" w:cs="Times New Roman"/>
        </w:rPr>
        <w:t xml:space="preserve">o tocante </w:t>
      </w:r>
      <w:r w:rsidR="002F77AF">
        <w:rPr>
          <w:rFonts w:ascii="Times New Roman" w:hAnsi="Times New Roman" w:cs="Times New Roman"/>
        </w:rPr>
        <w:t xml:space="preserve">ao </w:t>
      </w:r>
      <w:r w:rsidR="00542F6E">
        <w:rPr>
          <w:rFonts w:ascii="Times New Roman" w:hAnsi="Times New Roman" w:cs="Times New Roman"/>
        </w:rPr>
        <w:t>faturamento</w:t>
      </w:r>
      <w:r w:rsidR="002F77AF">
        <w:rPr>
          <w:rFonts w:ascii="Times New Roman" w:hAnsi="Times New Roman" w:cs="Times New Roman"/>
        </w:rPr>
        <w:t xml:space="preserve"> para a empresa construtora</w:t>
      </w:r>
      <w:r w:rsidR="00542F6E">
        <w:rPr>
          <w:rFonts w:ascii="Times New Roman" w:hAnsi="Times New Roman" w:cs="Times New Roman"/>
        </w:rPr>
        <w:t xml:space="preserve">, </w:t>
      </w:r>
      <w:r w:rsidR="00AC3470">
        <w:rPr>
          <w:rFonts w:ascii="Times New Roman" w:hAnsi="Times New Roman" w:cs="Times New Roman"/>
        </w:rPr>
        <w:t xml:space="preserve">este </w:t>
      </w:r>
      <w:r w:rsidR="00EB5AF3" w:rsidRPr="002B76F0">
        <w:rPr>
          <w:rFonts w:ascii="Times New Roman" w:hAnsi="Times New Roman" w:cs="Times New Roman"/>
        </w:rPr>
        <w:t xml:space="preserve">é independente da venda da mercadoria, não sendo </w:t>
      </w:r>
      <w:r w:rsidR="004A61C7">
        <w:rPr>
          <w:rFonts w:ascii="Times New Roman" w:hAnsi="Times New Roman" w:cs="Times New Roman"/>
        </w:rPr>
        <w:t xml:space="preserve">obrigatória </w:t>
      </w:r>
      <w:r w:rsidR="00EB5AF3" w:rsidRPr="002B76F0">
        <w:rPr>
          <w:rFonts w:ascii="Times New Roman" w:hAnsi="Times New Roman" w:cs="Times New Roman"/>
        </w:rPr>
        <w:t>a emiss</w:t>
      </w:r>
      <w:r w:rsidR="00116FBE" w:rsidRPr="002B76F0">
        <w:rPr>
          <w:rFonts w:ascii="Times New Roman" w:hAnsi="Times New Roman" w:cs="Times New Roman"/>
        </w:rPr>
        <w:t xml:space="preserve">ão de nota fiscal para esse fim. </w:t>
      </w:r>
      <w:r w:rsidR="004A61C7">
        <w:rPr>
          <w:rFonts w:ascii="Times New Roman" w:hAnsi="Times New Roman" w:cs="Times New Roman"/>
        </w:rPr>
        <w:t xml:space="preserve">Portanto, </w:t>
      </w:r>
      <w:r w:rsidR="00116FBE" w:rsidRPr="002B76F0">
        <w:rPr>
          <w:rFonts w:ascii="Times New Roman" w:hAnsi="Times New Roman" w:cs="Times New Roman"/>
        </w:rPr>
        <w:t xml:space="preserve">o </w:t>
      </w:r>
      <w:r w:rsidR="00CA7FA1" w:rsidRPr="002B76F0">
        <w:rPr>
          <w:rFonts w:ascii="Times New Roman" w:hAnsi="Times New Roman" w:cs="Times New Roman"/>
        </w:rPr>
        <w:t xml:space="preserve">fornecedor pode, a seu critério, emitir </w:t>
      </w:r>
      <w:r w:rsidR="004A61C7" w:rsidRPr="002B76F0">
        <w:rPr>
          <w:rFonts w:ascii="Times New Roman" w:hAnsi="Times New Roman" w:cs="Times New Roman"/>
        </w:rPr>
        <w:t>Fatura</w:t>
      </w:r>
      <w:r w:rsidR="00CA7FA1" w:rsidRPr="002B76F0">
        <w:rPr>
          <w:rFonts w:ascii="Times New Roman" w:hAnsi="Times New Roman" w:cs="Times New Roman"/>
        </w:rPr>
        <w:t xml:space="preserve"> </w:t>
      </w:r>
      <w:r w:rsidR="00AC3470" w:rsidRPr="002B76F0">
        <w:rPr>
          <w:rFonts w:ascii="Times New Roman" w:hAnsi="Times New Roman" w:cs="Times New Roman"/>
        </w:rPr>
        <w:t>Comercial</w:t>
      </w:r>
      <w:r w:rsidR="00CA7FA1" w:rsidRPr="002B76F0">
        <w:rPr>
          <w:rFonts w:ascii="Times New Roman" w:hAnsi="Times New Roman" w:cs="Times New Roman"/>
        </w:rPr>
        <w:t xml:space="preserve"> contra a matriz da empresa, mas, em relação à </w:t>
      </w:r>
      <w:r w:rsidR="002F77AF">
        <w:rPr>
          <w:rFonts w:ascii="Times New Roman" w:hAnsi="Times New Roman" w:cs="Times New Roman"/>
        </w:rPr>
        <w:t>circulaç</w:t>
      </w:r>
      <w:r w:rsidR="00B32B84">
        <w:rPr>
          <w:rFonts w:ascii="Times New Roman" w:hAnsi="Times New Roman" w:cs="Times New Roman"/>
        </w:rPr>
        <w:t>ão</w:t>
      </w:r>
      <w:r w:rsidR="00FD692C">
        <w:rPr>
          <w:rFonts w:ascii="Times New Roman" w:hAnsi="Times New Roman" w:cs="Times New Roman"/>
        </w:rPr>
        <w:t xml:space="preserve"> da mercadoria</w:t>
      </w:r>
      <w:r w:rsidR="00B32B84">
        <w:rPr>
          <w:rFonts w:ascii="Times New Roman" w:hAnsi="Times New Roman" w:cs="Times New Roman"/>
        </w:rPr>
        <w:t xml:space="preserve">, </w:t>
      </w:r>
      <w:r w:rsidR="00CA7FA1" w:rsidRPr="002B76F0">
        <w:rPr>
          <w:rFonts w:ascii="Times New Roman" w:hAnsi="Times New Roman" w:cs="Times New Roman"/>
        </w:rPr>
        <w:t>a NF-e de remessa de</w:t>
      </w:r>
      <w:r w:rsidR="00B32B84">
        <w:rPr>
          <w:rFonts w:ascii="Times New Roman" w:hAnsi="Times New Roman" w:cs="Times New Roman"/>
        </w:rPr>
        <w:t>ve ser em nome e endereço d</w:t>
      </w:r>
      <w:r w:rsidR="00CA7FA1" w:rsidRPr="002B76F0">
        <w:rPr>
          <w:rFonts w:ascii="Times New Roman" w:hAnsi="Times New Roman" w:cs="Times New Roman"/>
        </w:rPr>
        <w:t>o canteiro de o</w:t>
      </w:r>
      <w:r w:rsidR="00FD692C">
        <w:rPr>
          <w:rFonts w:ascii="Times New Roman" w:hAnsi="Times New Roman" w:cs="Times New Roman"/>
        </w:rPr>
        <w:t xml:space="preserve">bras, </w:t>
      </w:r>
      <w:r w:rsidR="00CA7FA1" w:rsidRPr="002B76F0">
        <w:rPr>
          <w:rFonts w:ascii="Times New Roman" w:hAnsi="Times New Roman" w:cs="Times New Roman"/>
        </w:rPr>
        <w:t>tributada</w:t>
      </w:r>
      <w:r w:rsidR="00D8707D" w:rsidRPr="002B76F0">
        <w:rPr>
          <w:rFonts w:ascii="Times New Roman" w:hAnsi="Times New Roman" w:cs="Times New Roman"/>
        </w:rPr>
        <w:t xml:space="preserve"> pelo </w:t>
      </w:r>
      <w:r w:rsidR="00FD692C">
        <w:rPr>
          <w:rFonts w:ascii="Times New Roman" w:hAnsi="Times New Roman" w:cs="Times New Roman"/>
        </w:rPr>
        <w:t>ICMS</w:t>
      </w:r>
      <w:r w:rsidR="00AC3470">
        <w:rPr>
          <w:rFonts w:ascii="Times New Roman" w:hAnsi="Times New Roman" w:cs="Times New Roman"/>
        </w:rPr>
        <w:t>.</w:t>
      </w:r>
    </w:p>
    <w:p w:rsidR="00244340" w:rsidRPr="002B76F0" w:rsidRDefault="00DD524E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 xml:space="preserve"> </w:t>
      </w:r>
      <w:proofErr w:type="gramStart"/>
      <w:r w:rsidR="00050CBB" w:rsidRPr="002B76F0">
        <w:rPr>
          <w:rFonts w:ascii="Times New Roman" w:hAnsi="Times New Roman" w:cs="Times New Roman"/>
        </w:rPr>
        <w:t>2.2)</w:t>
      </w:r>
      <w:proofErr w:type="gramEnd"/>
      <w:r w:rsidR="00050CBB" w:rsidRPr="002B7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Sim. N</w:t>
      </w:r>
      <w:r w:rsidR="005045E5" w:rsidRPr="002B76F0">
        <w:rPr>
          <w:rFonts w:ascii="Times New Roman" w:hAnsi="Times New Roman" w:cs="Times New Roman"/>
        </w:rPr>
        <w:t xml:space="preserve">as </w:t>
      </w:r>
      <w:r w:rsidR="00527E89" w:rsidRPr="002B76F0">
        <w:rPr>
          <w:rFonts w:ascii="Times New Roman" w:hAnsi="Times New Roman" w:cs="Times New Roman"/>
        </w:rPr>
        <w:t xml:space="preserve">operações e prestações que destinem bens e serviços </w:t>
      </w:r>
      <w:proofErr w:type="gramStart"/>
      <w:r w:rsidR="00527E89" w:rsidRPr="002B76F0">
        <w:rPr>
          <w:rFonts w:ascii="Times New Roman" w:hAnsi="Times New Roman" w:cs="Times New Roman"/>
        </w:rPr>
        <w:t>a consumidor</w:t>
      </w:r>
      <w:proofErr w:type="gramEnd"/>
      <w:r w:rsidR="00527E89" w:rsidRPr="002B76F0">
        <w:rPr>
          <w:rFonts w:ascii="Times New Roman" w:hAnsi="Times New Roman" w:cs="Times New Roman"/>
        </w:rPr>
        <w:t xml:space="preserve"> final não contribuinte do ICMS, localizado em outra unidade federada, </w:t>
      </w:r>
      <w:r w:rsidR="005045E5" w:rsidRPr="002B76F0">
        <w:rPr>
          <w:rFonts w:ascii="Times New Roman" w:hAnsi="Times New Roman" w:cs="Times New Roman"/>
        </w:rPr>
        <w:t>o ICMS deve ser pago de acordo com as normas d</w:t>
      </w:r>
      <w:r w:rsidR="009D0BF1">
        <w:rPr>
          <w:rFonts w:ascii="Times New Roman" w:hAnsi="Times New Roman" w:cs="Times New Roman"/>
        </w:rPr>
        <w:t xml:space="preserve">as referidas cláusulas do citado </w:t>
      </w:r>
      <w:r>
        <w:rPr>
          <w:rFonts w:ascii="Times New Roman" w:hAnsi="Times New Roman" w:cs="Times New Roman"/>
        </w:rPr>
        <w:t>Convênio ICMS 93/15, aplicável no presente caso.</w:t>
      </w:r>
    </w:p>
    <w:p w:rsidR="005045E5" w:rsidRPr="002B76F0" w:rsidRDefault="005045E5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2.3)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E6255F" w:rsidRPr="002B76F0">
        <w:rPr>
          <w:rFonts w:ascii="Times New Roman" w:hAnsi="Times New Roman" w:cs="Times New Roman"/>
        </w:rPr>
        <w:t>No caso apresentado o ICMS deve ser partilhado</w:t>
      </w:r>
      <w:r w:rsidR="001A4652">
        <w:rPr>
          <w:rFonts w:ascii="Times New Roman" w:hAnsi="Times New Roman" w:cs="Times New Roman"/>
        </w:rPr>
        <w:t xml:space="preserve">, </w:t>
      </w:r>
      <w:r w:rsidR="00006A24">
        <w:rPr>
          <w:rFonts w:ascii="Times New Roman" w:hAnsi="Times New Roman" w:cs="Times New Roman"/>
        </w:rPr>
        <w:t>nos termos do Convênio ICMS 93/15</w:t>
      </w:r>
      <w:r w:rsidR="001A4652">
        <w:rPr>
          <w:rFonts w:ascii="Times New Roman" w:hAnsi="Times New Roman" w:cs="Times New Roman"/>
        </w:rPr>
        <w:t>,</w:t>
      </w:r>
      <w:r w:rsidR="00006A24">
        <w:rPr>
          <w:rFonts w:ascii="Times New Roman" w:hAnsi="Times New Roman" w:cs="Times New Roman"/>
        </w:rPr>
        <w:t xml:space="preserve"> </w:t>
      </w:r>
      <w:r w:rsidR="00E6255F" w:rsidRPr="002B76F0">
        <w:rPr>
          <w:rFonts w:ascii="Times New Roman" w:hAnsi="Times New Roman" w:cs="Times New Roman"/>
        </w:rPr>
        <w:t>entre os Estados do Rio de Janeiro</w:t>
      </w:r>
      <w:r w:rsidR="00006A24">
        <w:rPr>
          <w:rFonts w:ascii="Times New Roman" w:hAnsi="Times New Roman" w:cs="Times New Roman"/>
        </w:rPr>
        <w:t xml:space="preserve">, local do fornecedor, </w:t>
      </w:r>
      <w:r w:rsidR="00E6255F" w:rsidRPr="002B76F0">
        <w:rPr>
          <w:rFonts w:ascii="Times New Roman" w:hAnsi="Times New Roman" w:cs="Times New Roman"/>
        </w:rPr>
        <w:t>e o Estado do destinatário</w:t>
      </w:r>
      <w:r w:rsidR="00006A24">
        <w:rPr>
          <w:rFonts w:ascii="Times New Roman" w:hAnsi="Times New Roman" w:cs="Times New Roman"/>
        </w:rPr>
        <w:t xml:space="preserve">, local do </w:t>
      </w:r>
      <w:r w:rsidR="00E6255F" w:rsidRPr="002B76F0">
        <w:rPr>
          <w:rFonts w:ascii="Times New Roman" w:hAnsi="Times New Roman" w:cs="Times New Roman"/>
        </w:rPr>
        <w:t xml:space="preserve">canteiro de obras, e pago pelo </w:t>
      </w:r>
      <w:r w:rsidR="001A4652">
        <w:rPr>
          <w:rFonts w:ascii="Times New Roman" w:hAnsi="Times New Roman" w:cs="Times New Roman"/>
        </w:rPr>
        <w:t>fornecedor (contribuinte</w:t>
      </w:r>
      <w:r w:rsidR="00E6255F" w:rsidRPr="002B76F0">
        <w:rPr>
          <w:rFonts w:ascii="Times New Roman" w:hAnsi="Times New Roman" w:cs="Times New Roman"/>
        </w:rPr>
        <w:t xml:space="preserve"> fluminense</w:t>
      </w:r>
      <w:r w:rsidR="001A4652">
        <w:rPr>
          <w:rFonts w:ascii="Times New Roman" w:hAnsi="Times New Roman" w:cs="Times New Roman"/>
        </w:rPr>
        <w:t>)</w:t>
      </w:r>
      <w:r w:rsidR="001304E3">
        <w:rPr>
          <w:rFonts w:ascii="Times New Roman" w:hAnsi="Times New Roman" w:cs="Times New Roman"/>
        </w:rPr>
        <w:t>.</w:t>
      </w:r>
      <w:r w:rsidR="00534767">
        <w:rPr>
          <w:rFonts w:ascii="Times New Roman" w:hAnsi="Times New Roman" w:cs="Times New Roman"/>
        </w:rPr>
        <w:t xml:space="preserve"> </w:t>
      </w:r>
      <w:r w:rsidR="00E6255F" w:rsidRPr="002B76F0">
        <w:rPr>
          <w:rFonts w:ascii="Times New Roman" w:hAnsi="Times New Roman" w:cs="Times New Roman"/>
        </w:rPr>
        <w:t xml:space="preserve"> </w:t>
      </w:r>
    </w:p>
    <w:p w:rsidR="00943D49" w:rsidRPr="002B76F0" w:rsidRDefault="00943D49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2.4)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716408" w:rsidRPr="002B76F0">
        <w:rPr>
          <w:rFonts w:ascii="Times New Roman" w:hAnsi="Times New Roman" w:cs="Times New Roman"/>
        </w:rPr>
        <w:t xml:space="preserve">Conforme respondido nos </w:t>
      </w:r>
      <w:r w:rsidRPr="002B76F0">
        <w:rPr>
          <w:rFonts w:ascii="Times New Roman" w:hAnsi="Times New Roman" w:cs="Times New Roman"/>
        </w:rPr>
        <w:t>subitens anteriores</w:t>
      </w:r>
      <w:r w:rsidR="00716408" w:rsidRPr="002B76F0">
        <w:rPr>
          <w:rFonts w:ascii="Times New Roman" w:hAnsi="Times New Roman" w:cs="Times New Roman"/>
        </w:rPr>
        <w:t xml:space="preserve"> o </w:t>
      </w:r>
      <w:r w:rsidR="00DB057F" w:rsidRPr="002B76F0">
        <w:rPr>
          <w:rFonts w:ascii="Times New Roman" w:hAnsi="Times New Roman" w:cs="Times New Roman"/>
        </w:rPr>
        <w:t xml:space="preserve">fornecedor fluminense </w:t>
      </w:r>
      <w:r w:rsidR="000E6411" w:rsidRPr="002B76F0">
        <w:rPr>
          <w:rFonts w:ascii="Times New Roman" w:hAnsi="Times New Roman" w:cs="Times New Roman"/>
        </w:rPr>
        <w:t xml:space="preserve">emitirá </w:t>
      </w:r>
      <w:r w:rsidR="00901865" w:rsidRPr="002B76F0">
        <w:rPr>
          <w:rFonts w:ascii="Times New Roman" w:hAnsi="Times New Roman" w:cs="Times New Roman"/>
        </w:rPr>
        <w:t>NF-e em nome do canteiro de obras, com base nos dados da sua</w:t>
      </w:r>
      <w:r w:rsidR="001A4652" w:rsidRPr="002B76F0">
        <w:rPr>
          <w:rFonts w:ascii="Times New Roman" w:hAnsi="Times New Roman" w:cs="Times New Roman"/>
        </w:rPr>
        <w:t xml:space="preserve"> Inscrição Municipal</w:t>
      </w:r>
      <w:r w:rsidR="00901865" w:rsidRPr="002B76F0">
        <w:rPr>
          <w:rFonts w:ascii="Times New Roman" w:hAnsi="Times New Roman" w:cs="Times New Roman"/>
        </w:rPr>
        <w:t xml:space="preserve">, </w:t>
      </w:r>
      <w:r w:rsidR="000E6411" w:rsidRPr="002B76F0">
        <w:rPr>
          <w:rFonts w:ascii="Times New Roman" w:hAnsi="Times New Roman" w:cs="Times New Roman"/>
        </w:rPr>
        <w:t xml:space="preserve">com os </w:t>
      </w:r>
      <w:r w:rsidRPr="002B76F0">
        <w:rPr>
          <w:rFonts w:ascii="Times New Roman" w:hAnsi="Times New Roman" w:cs="Times New Roman"/>
        </w:rPr>
        <w:t xml:space="preserve">CFOPs </w:t>
      </w:r>
      <w:r w:rsidR="00DB057F" w:rsidRPr="002B76F0">
        <w:rPr>
          <w:rFonts w:ascii="Times New Roman" w:hAnsi="Times New Roman" w:cs="Times New Roman"/>
        </w:rPr>
        <w:t>6</w:t>
      </w:r>
      <w:r w:rsidRPr="002B76F0">
        <w:rPr>
          <w:rFonts w:ascii="Times New Roman" w:hAnsi="Times New Roman" w:cs="Times New Roman"/>
        </w:rPr>
        <w:t>.1</w:t>
      </w:r>
      <w:r w:rsidR="00901865" w:rsidRPr="002B76F0">
        <w:rPr>
          <w:rFonts w:ascii="Times New Roman" w:hAnsi="Times New Roman" w:cs="Times New Roman"/>
        </w:rPr>
        <w:t xml:space="preserve">07 ou </w:t>
      </w:r>
      <w:r w:rsidR="00DB057F" w:rsidRPr="002B76F0">
        <w:rPr>
          <w:rFonts w:ascii="Times New Roman" w:hAnsi="Times New Roman" w:cs="Times New Roman"/>
        </w:rPr>
        <w:t>6</w:t>
      </w:r>
      <w:r w:rsidRPr="002B76F0">
        <w:rPr>
          <w:rFonts w:ascii="Times New Roman" w:hAnsi="Times New Roman" w:cs="Times New Roman"/>
        </w:rPr>
        <w:t>.1</w:t>
      </w:r>
      <w:r w:rsidR="00901865" w:rsidRPr="002B76F0">
        <w:rPr>
          <w:rFonts w:ascii="Times New Roman" w:hAnsi="Times New Roman" w:cs="Times New Roman"/>
        </w:rPr>
        <w:t>08</w:t>
      </w:r>
      <w:r w:rsidR="009144AA" w:rsidRPr="002B76F0">
        <w:rPr>
          <w:rFonts w:ascii="Times New Roman" w:hAnsi="Times New Roman" w:cs="Times New Roman"/>
        </w:rPr>
        <w:t>.</w:t>
      </w:r>
    </w:p>
    <w:p w:rsidR="005F7C75" w:rsidRPr="002B76F0" w:rsidRDefault="005F7C75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3.1)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F45E12" w:rsidRPr="002B76F0">
        <w:rPr>
          <w:rFonts w:ascii="Times New Roman" w:hAnsi="Times New Roman" w:cs="Times New Roman"/>
        </w:rPr>
        <w:t>Observada as respostas anteriores, que refletem a ótica do Fisco fluminense, a consulente deve se dirigir ao órgão consultivo do Estado do fornecedor da mercadoria.</w:t>
      </w:r>
    </w:p>
    <w:p w:rsidR="00F45E12" w:rsidRPr="002B76F0" w:rsidRDefault="00F45E12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lastRenderedPageBreak/>
        <w:t>3.2)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7D2ECA" w:rsidRPr="002B76F0">
        <w:rPr>
          <w:rFonts w:ascii="Times New Roman" w:hAnsi="Times New Roman" w:cs="Times New Roman"/>
        </w:rPr>
        <w:t xml:space="preserve">Sim. </w:t>
      </w:r>
      <w:r w:rsidR="003D1D4E" w:rsidRPr="002B76F0">
        <w:rPr>
          <w:rFonts w:ascii="Times New Roman" w:hAnsi="Times New Roman" w:cs="Times New Roman"/>
        </w:rPr>
        <w:t xml:space="preserve">Uma vez que o canteiro de obras está localizado </w:t>
      </w:r>
      <w:r w:rsidR="002B3EC2">
        <w:rPr>
          <w:rFonts w:ascii="Times New Roman" w:hAnsi="Times New Roman" w:cs="Times New Roman"/>
        </w:rPr>
        <w:t xml:space="preserve">no Estado </w:t>
      </w:r>
      <w:r w:rsidR="003D1D4E" w:rsidRPr="002B76F0">
        <w:rPr>
          <w:rFonts w:ascii="Times New Roman" w:hAnsi="Times New Roman" w:cs="Times New Roman"/>
        </w:rPr>
        <w:t xml:space="preserve">do Rio de Janeiro, o ICMS </w:t>
      </w:r>
      <w:r w:rsidR="00154DD0" w:rsidRPr="002B76F0">
        <w:rPr>
          <w:rFonts w:ascii="Times New Roman" w:hAnsi="Times New Roman" w:cs="Times New Roman"/>
        </w:rPr>
        <w:t>devido à unidade federada de destino deve ser</w:t>
      </w:r>
      <w:r w:rsidR="002B3EC2">
        <w:rPr>
          <w:rFonts w:ascii="Times New Roman" w:hAnsi="Times New Roman" w:cs="Times New Roman"/>
        </w:rPr>
        <w:t xml:space="preserve"> pago este </w:t>
      </w:r>
      <w:r w:rsidR="00154DD0" w:rsidRPr="002B76F0">
        <w:rPr>
          <w:rFonts w:ascii="Times New Roman" w:hAnsi="Times New Roman" w:cs="Times New Roman"/>
        </w:rPr>
        <w:t>Estado do Rio de Janeiro, nos termos do Convênio ICMS 93/15.</w:t>
      </w:r>
    </w:p>
    <w:p w:rsidR="008F57ED" w:rsidRPr="002B76F0" w:rsidRDefault="008F57ED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3.3)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95575E" w:rsidRPr="002B76F0">
        <w:rPr>
          <w:rFonts w:ascii="Times New Roman" w:hAnsi="Times New Roman" w:cs="Times New Roman"/>
        </w:rPr>
        <w:t>Novamente, sob a ótica desta CCJT, o</w:t>
      </w:r>
      <w:r w:rsidRPr="002B76F0">
        <w:rPr>
          <w:rFonts w:ascii="Times New Roman" w:hAnsi="Times New Roman" w:cs="Times New Roman"/>
        </w:rPr>
        <w:t xml:space="preserve"> ICMS a ser pago </w:t>
      </w:r>
      <w:r w:rsidR="006F2B65">
        <w:rPr>
          <w:rFonts w:ascii="Times New Roman" w:hAnsi="Times New Roman" w:cs="Times New Roman"/>
        </w:rPr>
        <w:t xml:space="preserve">pelo </w:t>
      </w:r>
      <w:r w:rsidR="006F2B65" w:rsidRPr="002B76F0">
        <w:rPr>
          <w:rFonts w:ascii="Times New Roman" w:hAnsi="Times New Roman" w:cs="Times New Roman"/>
        </w:rPr>
        <w:t xml:space="preserve">fornecedor da mercadoria </w:t>
      </w:r>
      <w:r w:rsidRPr="002B76F0">
        <w:rPr>
          <w:rFonts w:ascii="Times New Roman" w:hAnsi="Times New Roman" w:cs="Times New Roman"/>
        </w:rPr>
        <w:t>na forma do Convênio ICMS</w:t>
      </w:r>
      <w:r w:rsidR="00127903" w:rsidRPr="002B76F0">
        <w:rPr>
          <w:rFonts w:ascii="Times New Roman" w:hAnsi="Times New Roman" w:cs="Times New Roman"/>
        </w:rPr>
        <w:t xml:space="preserve"> 93/15.</w:t>
      </w:r>
    </w:p>
    <w:p w:rsidR="00E901EC" w:rsidRPr="002B76F0" w:rsidRDefault="00E901EC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2B76F0">
        <w:rPr>
          <w:rFonts w:ascii="Times New Roman" w:hAnsi="Times New Roman" w:cs="Times New Roman"/>
        </w:rPr>
        <w:t>3.</w:t>
      </w:r>
      <w:r w:rsidR="008F57ED" w:rsidRPr="002B76F0">
        <w:rPr>
          <w:rFonts w:ascii="Times New Roman" w:hAnsi="Times New Roman" w:cs="Times New Roman"/>
        </w:rPr>
        <w:t>4</w:t>
      </w:r>
      <w:r w:rsidRPr="002B76F0">
        <w:rPr>
          <w:rFonts w:ascii="Times New Roman" w:hAnsi="Times New Roman" w:cs="Times New Roman"/>
        </w:rPr>
        <w:t>)</w:t>
      </w:r>
      <w:proofErr w:type="gramEnd"/>
      <w:r w:rsidRPr="002B76F0">
        <w:rPr>
          <w:rFonts w:ascii="Times New Roman" w:hAnsi="Times New Roman" w:cs="Times New Roman"/>
        </w:rPr>
        <w:t xml:space="preserve"> </w:t>
      </w:r>
      <w:r w:rsidR="0095575E" w:rsidRPr="002B76F0">
        <w:rPr>
          <w:rFonts w:ascii="Times New Roman" w:hAnsi="Times New Roman" w:cs="Times New Roman"/>
        </w:rPr>
        <w:t xml:space="preserve">No entendimento desta CCJT, </w:t>
      </w:r>
      <w:r w:rsidR="009D77C5" w:rsidRPr="002B76F0">
        <w:rPr>
          <w:rFonts w:ascii="Times New Roman" w:hAnsi="Times New Roman" w:cs="Times New Roman"/>
        </w:rPr>
        <w:t xml:space="preserve">as Notas Fiscais devem ser emitidas </w:t>
      </w:r>
      <w:r w:rsidR="00CA1C48" w:rsidRPr="002B76F0">
        <w:rPr>
          <w:rFonts w:ascii="Times New Roman" w:hAnsi="Times New Roman" w:cs="Times New Roman"/>
        </w:rPr>
        <w:t>de acordo com a</w:t>
      </w:r>
      <w:r w:rsidR="00E25DAF">
        <w:rPr>
          <w:rFonts w:ascii="Times New Roman" w:hAnsi="Times New Roman" w:cs="Times New Roman"/>
        </w:rPr>
        <w:t>s</w:t>
      </w:r>
      <w:r w:rsidR="00CA1C48" w:rsidRPr="002B76F0">
        <w:rPr>
          <w:rFonts w:ascii="Times New Roman" w:hAnsi="Times New Roman" w:cs="Times New Roman"/>
        </w:rPr>
        <w:t xml:space="preserve"> </w:t>
      </w:r>
      <w:r w:rsidR="009D77C5" w:rsidRPr="002B76F0">
        <w:rPr>
          <w:rFonts w:ascii="Times New Roman" w:hAnsi="Times New Roman" w:cs="Times New Roman"/>
        </w:rPr>
        <w:t>respo</w:t>
      </w:r>
      <w:r w:rsidR="00CA1C48" w:rsidRPr="002B76F0">
        <w:rPr>
          <w:rFonts w:ascii="Times New Roman" w:hAnsi="Times New Roman" w:cs="Times New Roman"/>
        </w:rPr>
        <w:t>sta</w:t>
      </w:r>
      <w:r w:rsidR="00E25DAF">
        <w:rPr>
          <w:rFonts w:ascii="Times New Roman" w:hAnsi="Times New Roman" w:cs="Times New Roman"/>
        </w:rPr>
        <w:t>s</w:t>
      </w:r>
      <w:r w:rsidR="00CA1C48" w:rsidRPr="002B76F0">
        <w:rPr>
          <w:rFonts w:ascii="Times New Roman" w:hAnsi="Times New Roman" w:cs="Times New Roman"/>
        </w:rPr>
        <w:t xml:space="preserve"> dada</w:t>
      </w:r>
      <w:r w:rsidR="00E25DAF">
        <w:rPr>
          <w:rFonts w:ascii="Times New Roman" w:hAnsi="Times New Roman" w:cs="Times New Roman"/>
        </w:rPr>
        <w:t>s</w:t>
      </w:r>
      <w:r w:rsidR="00CA1C48" w:rsidRPr="002B76F0">
        <w:rPr>
          <w:rFonts w:ascii="Times New Roman" w:hAnsi="Times New Roman" w:cs="Times New Roman"/>
        </w:rPr>
        <w:t xml:space="preserve"> n</w:t>
      </w:r>
      <w:r w:rsidR="00AD3FE7">
        <w:rPr>
          <w:rFonts w:ascii="Times New Roman" w:hAnsi="Times New Roman" w:cs="Times New Roman"/>
        </w:rPr>
        <w:t>o</w:t>
      </w:r>
      <w:r w:rsidR="00E25DAF">
        <w:rPr>
          <w:rFonts w:ascii="Times New Roman" w:hAnsi="Times New Roman" w:cs="Times New Roman"/>
        </w:rPr>
        <w:t>s</w:t>
      </w:r>
      <w:r w:rsidR="00AD3FE7">
        <w:rPr>
          <w:rFonts w:ascii="Times New Roman" w:hAnsi="Times New Roman" w:cs="Times New Roman"/>
        </w:rPr>
        <w:t xml:space="preserve"> subite</w:t>
      </w:r>
      <w:r w:rsidR="00E25DAF">
        <w:rPr>
          <w:rFonts w:ascii="Times New Roman" w:hAnsi="Times New Roman" w:cs="Times New Roman"/>
        </w:rPr>
        <w:t xml:space="preserve">ns </w:t>
      </w:r>
      <w:r w:rsidR="00AD3FE7">
        <w:rPr>
          <w:rFonts w:ascii="Times New Roman" w:hAnsi="Times New Roman" w:cs="Times New Roman"/>
        </w:rPr>
        <w:t>2.</w:t>
      </w:r>
      <w:r w:rsidR="00060E9F">
        <w:rPr>
          <w:rFonts w:ascii="Times New Roman" w:hAnsi="Times New Roman" w:cs="Times New Roman"/>
        </w:rPr>
        <w:t>1</w:t>
      </w:r>
      <w:r w:rsidR="00E25DAF">
        <w:rPr>
          <w:rFonts w:ascii="Times New Roman" w:hAnsi="Times New Roman" w:cs="Times New Roman"/>
        </w:rPr>
        <w:t xml:space="preserve"> e 2.4</w:t>
      </w:r>
      <w:r w:rsidR="00AD3FE7">
        <w:rPr>
          <w:rFonts w:ascii="Times New Roman" w:hAnsi="Times New Roman" w:cs="Times New Roman"/>
        </w:rPr>
        <w:t xml:space="preserve">.  Contudo, cabe à consulente consultar o </w:t>
      </w:r>
      <w:r w:rsidR="005B59BD">
        <w:rPr>
          <w:rFonts w:ascii="Times New Roman" w:hAnsi="Times New Roman" w:cs="Times New Roman"/>
        </w:rPr>
        <w:t>órg</w:t>
      </w:r>
      <w:r w:rsidR="007451D9">
        <w:rPr>
          <w:rFonts w:ascii="Times New Roman" w:hAnsi="Times New Roman" w:cs="Times New Roman"/>
        </w:rPr>
        <w:t>ão</w:t>
      </w:r>
      <w:r w:rsidR="005B59BD">
        <w:rPr>
          <w:rFonts w:ascii="Times New Roman" w:hAnsi="Times New Roman" w:cs="Times New Roman"/>
        </w:rPr>
        <w:t xml:space="preserve"> consul</w:t>
      </w:r>
      <w:r w:rsidR="007451D9">
        <w:rPr>
          <w:rFonts w:ascii="Times New Roman" w:hAnsi="Times New Roman" w:cs="Times New Roman"/>
        </w:rPr>
        <w:t>tiv</w:t>
      </w:r>
      <w:r w:rsidR="005B59BD">
        <w:rPr>
          <w:rFonts w:ascii="Times New Roman" w:hAnsi="Times New Roman" w:cs="Times New Roman"/>
        </w:rPr>
        <w:t xml:space="preserve">o </w:t>
      </w:r>
      <w:r w:rsidR="00AD3FE7">
        <w:rPr>
          <w:rFonts w:ascii="Times New Roman" w:hAnsi="Times New Roman" w:cs="Times New Roman"/>
        </w:rPr>
        <w:t xml:space="preserve">do </w:t>
      </w:r>
      <w:r w:rsidR="007451D9">
        <w:rPr>
          <w:rFonts w:ascii="Times New Roman" w:hAnsi="Times New Roman" w:cs="Times New Roman"/>
        </w:rPr>
        <w:t xml:space="preserve">Estado do </w:t>
      </w:r>
      <w:r w:rsidR="00AD3FE7">
        <w:rPr>
          <w:rFonts w:ascii="Times New Roman" w:hAnsi="Times New Roman" w:cs="Times New Roman"/>
        </w:rPr>
        <w:t>fornecedor da mercadoria.</w:t>
      </w:r>
    </w:p>
    <w:p w:rsidR="009128C1" w:rsidRPr="002B76F0" w:rsidRDefault="009128C1" w:rsidP="002B76F0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2B76F0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2B76F0">
        <w:rPr>
          <w:rFonts w:ascii="Times New Roman" w:hAnsi="Times New Roman" w:cs="Times New Roman"/>
        </w:rPr>
        <w:t xml:space="preserve"> ou seja</w:t>
      </w:r>
      <w:proofErr w:type="gramEnd"/>
      <w:r w:rsidRPr="002B76F0">
        <w:rPr>
          <w:rFonts w:ascii="Times New Roman" w:hAnsi="Times New Roman" w:cs="Times New Roman"/>
        </w:rPr>
        <w:t xml:space="preserve"> editada norma superveniente dispondo de forma contrária.</w:t>
      </w:r>
    </w:p>
    <w:p w:rsidR="009128C1" w:rsidRPr="00EF07B0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127903">
        <w:rPr>
          <w:rFonts w:ascii="Times New Roman" w:hAnsi="Times New Roman" w:cs="Times New Roman"/>
        </w:rPr>
        <w:t xml:space="preserve"> </w:t>
      </w:r>
      <w:r w:rsidR="00AD3FE7">
        <w:rPr>
          <w:rFonts w:ascii="Times New Roman" w:hAnsi="Times New Roman" w:cs="Times New Roman"/>
        </w:rPr>
        <w:t xml:space="preserve">31 </w:t>
      </w:r>
      <w:r w:rsidRPr="00EF07B0">
        <w:rPr>
          <w:rFonts w:ascii="Times New Roman" w:hAnsi="Times New Roman" w:cs="Times New Roman"/>
        </w:rPr>
        <w:t>de</w:t>
      </w:r>
      <w:r w:rsidR="00127903">
        <w:rPr>
          <w:rFonts w:ascii="Times New Roman" w:hAnsi="Times New Roman" w:cs="Times New Roman"/>
        </w:rPr>
        <w:t xml:space="preserve"> julho </w:t>
      </w:r>
      <w:r w:rsidRPr="00EF07B0">
        <w:rPr>
          <w:rFonts w:ascii="Times New Roman" w:hAnsi="Times New Roman" w:cs="Times New Roman"/>
        </w:rPr>
        <w:t>de 2.01</w:t>
      </w:r>
      <w:r>
        <w:rPr>
          <w:rFonts w:ascii="Times New Roman" w:hAnsi="Times New Roman" w:cs="Times New Roman"/>
        </w:rPr>
        <w:t>8</w:t>
      </w:r>
      <w:r w:rsidRPr="00EF07B0">
        <w:rPr>
          <w:rFonts w:ascii="Times New Roman" w:hAnsi="Times New Roman" w:cs="Times New Roman"/>
        </w:rPr>
        <w:t>.</w:t>
      </w:r>
    </w:p>
    <w:sectPr w:rsidR="009128C1" w:rsidRPr="00EF07B0" w:rsidSect="00C06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3" w:rsidRDefault="00C067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3" w:rsidRDefault="00C067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3" w:rsidRDefault="00C067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3" w:rsidRDefault="00C067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3E079F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42FD186" wp14:editId="69860A7F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E86405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3E07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3E079F"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3E079F">
                  <w:rPr>
                    <w:rFonts w:ascii="Times New Roman" w:hAnsi="Times New Roman"/>
                    <w:sz w:val="20"/>
                  </w:rPr>
                  <w:t>10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3E079F"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555312" w:rsidRPr="003E079F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3E079F" w:rsidRDefault="00555312" w:rsidP="00C067E3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t xml:space="preserve">Data: </w:t>
                </w:r>
                <w:r w:rsidR="003E079F">
                  <w:rPr>
                    <w:rFonts w:ascii="Times New Roman" w:hAnsi="Times New Roman"/>
                    <w:sz w:val="20"/>
                    <w:lang w:val="en-US"/>
                  </w:rPr>
                  <w:t xml:space="preserve"> 03</w:t>
                </w:r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t>/</w:t>
                </w:r>
                <w:r w:rsidR="003E079F">
                  <w:rPr>
                    <w:rFonts w:ascii="Times New Roman" w:hAnsi="Times New Roman"/>
                    <w:sz w:val="20"/>
                    <w:lang w:val="en-US"/>
                  </w:rPr>
                  <w:t>01</w:t>
                </w:r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t>/</w:t>
                </w:r>
                <w:r w:rsidR="003E079F">
                  <w:rPr>
                    <w:rFonts w:ascii="Times New Roman" w:hAnsi="Times New Roman"/>
                    <w:sz w:val="20"/>
                    <w:lang w:val="en-US"/>
                  </w:rPr>
                  <w:t>18</w:t>
                </w:r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t xml:space="preserve"> – </w:t>
                </w:r>
                <w:proofErr w:type="spellStart"/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 w:rsidR="00C067E3">
                  <w:rPr>
                    <w:rFonts w:ascii="Times New Roman" w:hAnsi="Times New Roman"/>
                    <w:sz w:val="20"/>
                    <w:lang w:val="en-US"/>
                  </w:rPr>
                  <w:t>.</w:t>
                </w:r>
                <w:bookmarkStart w:id="0" w:name="_GoBack"/>
                <w:bookmarkEnd w:id="0"/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t xml:space="preserve">: 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3E079F">
                  <w:rPr>
                    <w:rFonts w:ascii="Times New Roman" w:hAnsi="Times New Roman"/>
                    <w:sz w:val="20"/>
                    <w:lang w:val="en-US"/>
                  </w:rPr>
                  <w:instrText>PAGE   \* MERGEFORMAT</w:instrTex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C067E3">
                  <w:rPr>
                    <w:rFonts w:ascii="Times New Roman" w:hAnsi="Times New Roman"/>
                    <w:noProof/>
                    <w:sz w:val="20"/>
                    <w:lang w:val="en-US"/>
                  </w:rPr>
                  <w:t>19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3E079F" w:rsidTr="00C067E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555312" w:rsidRPr="003E079F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555312" w:rsidRPr="003E079F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555312" w:rsidRPr="003E079F" w:rsidRDefault="00555312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3" w:rsidRDefault="00C06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5E5"/>
    <w:rsid w:val="000016C8"/>
    <w:rsid w:val="000055B0"/>
    <w:rsid w:val="000068B6"/>
    <w:rsid w:val="00006A24"/>
    <w:rsid w:val="00006BE3"/>
    <w:rsid w:val="00016C55"/>
    <w:rsid w:val="00017C90"/>
    <w:rsid w:val="0002389A"/>
    <w:rsid w:val="00025881"/>
    <w:rsid w:val="00030B7A"/>
    <w:rsid w:val="00044F9C"/>
    <w:rsid w:val="00050CBB"/>
    <w:rsid w:val="00060E9F"/>
    <w:rsid w:val="000641B7"/>
    <w:rsid w:val="00065289"/>
    <w:rsid w:val="0008336D"/>
    <w:rsid w:val="000866A0"/>
    <w:rsid w:val="00091CB9"/>
    <w:rsid w:val="000A0ADD"/>
    <w:rsid w:val="000C5711"/>
    <w:rsid w:val="000D437E"/>
    <w:rsid w:val="000D560A"/>
    <w:rsid w:val="000D6F55"/>
    <w:rsid w:val="000E6411"/>
    <w:rsid w:val="000E76FF"/>
    <w:rsid w:val="000F30B1"/>
    <w:rsid w:val="000F63EE"/>
    <w:rsid w:val="0010143B"/>
    <w:rsid w:val="00102201"/>
    <w:rsid w:val="001041D8"/>
    <w:rsid w:val="0011003D"/>
    <w:rsid w:val="00116ED0"/>
    <w:rsid w:val="00116FBE"/>
    <w:rsid w:val="0011743B"/>
    <w:rsid w:val="00117DAB"/>
    <w:rsid w:val="00127903"/>
    <w:rsid w:val="001304E3"/>
    <w:rsid w:val="0014427E"/>
    <w:rsid w:val="0014555C"/>
    <w:rsid w:val="00154DD0"/>
    <w:rsid w:val="00157300"/>
    <w:rsid w:val="001644EC"/>
    <w:rsid w:val="00166FDB"/>
    <w:rsid w:val="001760E5"/>
    <w:rsid w:val="00182171"/>
    <w:rsid w:val="00183551"/>
    <w:rsid w:val="00184407"/>
    <w:rsid w:val="0018640D"/>
    <w:rsid w:val="00192FCB"/>
    <w:rsid w:val="001A0FFA"/>
    <w:rsid w:val="001A4652"/>
    <w:rsid w:val="001B3992"/>
    <w:rsid w:val="001B497B"/>
    <w:rsid w:val="001C7B3E"/>
    <w:rsid w:val="001D11E2"/>
    <w:rsid w:val="001D62A1"/>
    <w:rsid w:val="001E4F56"/>
    <w:rsid w:val="001F309B"/>
    <w:rsid w:val="001F3F43"/>
    <w:rsid w:val="001F5FF7"/>
    <w:rsid w:val="001F7132"/>
    <w:rsid w:val="00205E69"/>
    <w:rsid w:val="002064FC"/>
    <w:rsid w:val="00210225"/>
    <w:rsid w:val="0021033A"/>
    <w:rsid w:val="002124DC"/>
    <w:rsid w:val="00214A9C"/>
    <w:rsid w:val="0023061B"/>
    <w:rsid w:val="002307F8"/>
    <w:rsid w:val="002436D8"/>
    <w:rsid w:val="00244340"/>
    <w:rsid w:val="00246D39"/>
    <w:rsid w:val="00247E3B"/>
    <w:rsid w:val="00251988"/>
    <w:rsid w:val="00253080"/>
    <w:rsid w:val="002634F0"/>
    <w:rsid w:val="00265632"/>
    <w:rsid w:val="002712D7"/>
    <w:rsid w:val="00273529"/>
    <w:rsid w:val="00275213"/>
    <w:rsid w:val="00277AA4"/>
    <w:rsid w:val="0028490E"/>
    <w:rsid w:val="00285C4E"/>
    <w:rsid w:val="00286428"/>
    <w:rsid w:val="00287569"/>
    <w:rsid w:val="00296DAB"/>
    <w:rsid w:val="002A3331"/>
    <w:rsid w:val="002A5BA8"/>
    <w:rsid w:val="002A683F"/>
    <w:rsid w:val="002B25A7"/>
    <w:rsid w:val="002B3EC2"/>
    <w:rsid w:val="002B76F0"/>
    <w:rsid w:val="002C3154"/>
    <w:rsid w:val="002C3798"/>
    <w:rsid w:val="002D061E"/>
    <w:rsid w:val="002D6A98"/>
    <w:rsid w:val="002F05D6"/>
    <w:rsid w:val="002F5AAC"/>
    <w:rsid w:val="002F77AF"/>
    <w:rsid w:val="00300288"/>
    <w:rsid w:val="00300997"/>
    <w:rsid w:val="003012BF"/>
    <w:rsid w:val="00302153"/>
    <w:rsid w:val="00315666"/>
    <w:rsid w:val="00316D36"/>
    <w:rsid w:val="00324004"/>
    <w:rsid w:val="003252DD"/>
    <w:rsid w:val="003347BF"/>
    <w:rsid w:val="003453A9"/>
    <w:rsid w:val="003502EE"/>
    <w:rsid w:val="0035322A"/>
    <w:rsid w:val="00355B36"/>
    <w:rsid w:val="00356A67"/>
    <w:rsid w:val="00360C1E"/>
    <w:rsid w:val="003615DD"/>
    <w:rsid w:val="0036656D"/>
    <w:rsid w:val="00367073"/>
    <w:rsid w:val="00370985"/>
    <w:rsid w:val="0037548B"/>
    <w:rsid w:val="003A1EFA"/>
    <w:rsid w:val="003A517F"/>
    <w:rsid w:val="003B6D7D"/>
    <w:rsid w:val="003C06E3"/>
    <w:rsid w:val="003C3FF2"/>
    <w:rsid w:val="003C4DE9"/>
    <w:rsid w:val="003D1D4E"/>
    <w:rsid w:val="003D35A1"/>
    <w:rsid w:val="003D672A"/>
    <w:rsid w:val="003E079F"/>
    <w:rsid w:val="003E0BA3"/>
    <w:rsid w:val="003E1E84"/>
    <w:rsid w:val="003E2C18"/>
    <w:rsid w:val="003E4A98"/>
    <w:rsid w:val="003E5502"/>
    <w:rsid w:val="003E5ED9"/>
    <w:rsid w:val="00411549"/>
    <w:rsid w:val="00423EF2"/>
    <w:rsid w:val="004241D0"/>
    <w:rsid w:val="004305F0"/>
    <w:rsid w:val="00434AA2"/>
    <w:rsid w:val="0044484B"/>
    <w:rsid w:val="004466E5"/>
    <w:rsid w:val="00452384"/>
    <w:rsid w:val="00455FAC"/>
    <w:rsid w:val="00460EEA"/>
    <w:rsid w:val="00462140"/>
    <w:rsid w:val="00462AC3"/>
    <w:rsid w:val="0046357C"/>
    <w:rsid w:val="004738CA"/>
    <w:rsid w:val="00474CF8"/>
    <w:rsid w:val="00476461"/>
    <w:rsid w:val="00480304"/>
    <w:rsid w:val="004807E2"/>
    <w:rsid w:val="00481E33"/>
    <w:rsid w:val="00481F61"/>
    <w:rsid w:val="00482C57"/>
    <w:rsid w:val="00483017"/>
    <w:rsid w:val="004856DA"/>
    <w:rsid w:val="004A02C8"/>
    <w:rsid w:val="004A61C7"/>
    <w:rsid w:val="004A6CC6"/>
    <w:rsid w:val="004C1EB5"/>
    <w:rsid w:val="004D3BD9"/>
    <w:rsid w:val="004E2759"/>
    <w:rsid w:val="004E5A29"/>
    <w:rsid w:val="004E6252"/>
    <w:rsid w:val="004E7DC3"/>
    <w:rsid w:val="004E7E13"/>
    <w:rsid w:val="004F1C47"/>
    <w:rsid w:val="005045E5"/>
    <w:rsid w:val="005220FC"/>
    <w:rsid w:val="00527E89"/>
    <w:rsid w:val="005333BB"/>
    <w:rsid w:val="005344E9"/>
    <w:rsid w:val="00534767"/>
    <w:rsid w:val="00542EA5"/>
    <w:rsid w:val="00542F6E"/>
    <w:rsid w:val="0054386B"/>
    <w:rsid w:val="00546EC0"/>
    <w:rsid w:val="00551586"/>
    <w:rsid w:val="00553D7C"/>
    <w:rsid w:val="00553FC0"/>
    <w:rsid w:val="00555312"/>
    <w:rsid w:val="005578E8"/>
    <w:rsid w:val="00562D7D"/>
    <w:rsid w:val="00564BE1"/>
    <w:rsid w:val="005707CA"/>
    <w:rsid w:val="00570A08"/>
    <w:rsid w:val="005723F4"/>
    <w:rsid w:val="00580D94"/>
    <w:rsid w:val="00584587"/>
    <w:rsid w:val="005860DD"/>
    <w:rsid w:val="00593695"/>
    <w:rsid w:val="005A37D1"/>
    <w:rsid w:val="005A6F87"/>
    <w:rsid w:val="005B395F"/>
    <w:rsid w:val="005B59BD"/>
    <w:rsid w:val="005B7742"/>
    <w:rsid w:val="005C459E"/>
    <w:rsid w:val="005C5FC9"/>
    <w:rsid w:val="005D0631"/>
    <w:rsid w:val="005D082C"/>
    <w:rsid w:val="005D2324"/>
    <w:rsid w:val="005E14DA"/>
    <w:rsid w:val="005E7A38"/>
    <w:rsid w:val="005F26B5"/>
    <w:rsid w:val="005F47B6"/>
    <w:rsid w:val="005F55C3"/>
    <w:rsid w:val="005F7C75"/>
    <w:rsid w:val="00602B62"/>
    <w:rsid w:val="0060644F"/>
    <w:rsid w:val="00622AE8"/>
    <w:rsid w:val="00635610"/>
    <w:rsid w:val="0065393E"/>
    <w:rsid w:val="00654C1A"/>
    <w:rsid w:val="006637B6"/>
    <w:rsid w:val="0066751B"/>
    <w:rsid w:val="006751C2"/>
    <w:rsid w:val="00680B25"/>
    <w:rsid w:val="00685A49"/>
    <w:rsid w:val="00691076"/>
    <w:rsid w:val="006914CE"/>
    <w:rsid w:val="006976A9"/>
    <w:rsid w:val="006A2586"/>
    <w:rsid w:val="006A270F"/>
    <w:rsid w:val="006A547A"/>
    <w:rsid w:val="006B261C"/>
    <w:rsid w:val="006E72C4"/>
    <w:rsid w:val="006E73A4"/>
    <w:rsid w:val="006F06F0"/>
    <w:rsid w:val="006F0C08"/>
    <w:rsid w:val="006F1CD7"/>
    <w:rsid w:val="006F2675"/>
    <w:rsid w:val="006F2B65"/>
    <w:rsid w:val="006F7509"/>
    <w:rsid w:val="0070329F"/>
    <w:rsid w:val="007120DC"/>
    <w:rsid w:val="00715964"/>
    <w:rsid w:val="00716408"/>
    <w:rsid w:val="0074027D"/>
    <w:rsid w:val="00744EDD"/>
    <w:rsid w:val="007451D9"/>
    <w:rsid w:val="007475CF"/>
    <w:rsid w:val="00750912"/>
    <w:rsid w:val="0075364B"/>
    <w:rsid w:val="007637EC"/>
    <w:rsid w:val="00763DE2"/>
    <w:rsid w:val="00773AC1"/>
    <w:rsid w:val="00777F12"/>
    <w:rsid w:val="00782A6F"/>
    <w:rsid w:val="00784FE7"/>
    <w:rsid w:val="0079182E"/>
    <w:rsid w:val="007A0373"/>
    <w:rsid w:val="007A0470"/>
    <w:rsid w:val="007A3336"/>
    <w:rsid w:val="007A4C6C"/>
    <w:rsid w:val="007B3B47"/>
    <w:rsid w:val="007B5956"/>
    <w:rsid w:val="007D2ECA"/>
    <w:rsid w:val="007E0092"/>
    <w:rsid w:val="007E33A3"/>
    <w:rsid w:val="007E466C"/>
    <w:rsid w:val="007F2BB5"/>
    <w:rsid w:val="00805A34"/>
    <w:rsid w:val="00820383"/>
    <w:rsid w:val="00820A06"/>
    <w:rsid w:val="00820C72"/>
    <w:rsid w:val="00824B85"/>
    <w:rsid w:val="00825D6E"/>
    <w:rsid w:val="008276EC"/>
    <w:rsid w:val="0084320B"/>
    <w:rsid w:val="00844E38"/>
    <w:rsid w:val="00845F11"/>
    <w:rsid w:val="00845FB7"/>
    <w:rsid w:val="00855F4B"/>
    <w:rsid w:val="00885D79"/>
    <w:rsid w:val="00886D7F"/>
    <w:rsid w:val="0089032B"/>
    <w:rsid w:val="008A370B"/>
    <w:rsid w:val="008A6D00"/>
    <w:rsid w:val="008B1870"/>
    <w:rsid w:val="008B2817"/>
    <w:rsid w:val="008C6EFB"/>
    <w:rsid w:val="008D2832"/>
    <w:rsid w:val="008D2911"/>
    <w:rsid w:val="008D4306"/>
    <w:rsid w:val="008F3D1E"/>
    <w:rsid w:val="008F57ED"/>
    <w:rsid w:val="008F5E9B"/>
    <w:rsid w:val="008F716D"/>
    <w:rsid w:val="00901865"/>
    <w:rsid w:val="00904AFD"/>
    <w:rsid w:val="00905595"/>
    <w:rsid w:val="00906D98"/>
    <w:rsid w:val="009128C1"/>
    <w:rsid w:val="009144AA"/>
    <w:rsid w:val="009267DC"/>
    <w:rsid w:val="0093290E"/>
    <w:rsid w:val="00934E4E"/>
    <w:rsid w:val="009370E5"/>
    <w:rsid w:val="00940E30"/>
    <w:rsid w:val="00943D49"/>
    <w:rsid w:val="00951E1D"/>
    <w:rsid w:val="009545D3"/>
    <w:rsid w:val="0095575E"/>
    <w:rsid w:val="00955BA1"/>
    <w:rsid w:val="00956C02"/>
    <w:rsid w:val="00970657"/>
    <w:rsid w:val="00971D98"/>
    <w:rsid w:val="009807FC"/>
    <w:rsid w:val="00983A55"/>
    <w:rsid w:val="00987CE9"/>
    <w:rsid w:val="00994540"/>
    <w:rsid w:val="009A4E8D"/>
    <w:rsid w:val="009B3567"/>
    <w:rsid w:val="009C2B3E"/>
    <w:rsid w:val="009C52C7"/>
    <w:rsid w:val="009C7B15"/>
    <w:rsid w:val="009D0BF1"/>
    <w:rsid w:val="009D1501"/>
    <w:rsid w:val="009D7761"/>
    <w:rsid w:val="009D77C5"/>
    <w:rsid w:val="009E2E6B"/>
    <w:rsid w:val="009E4A91"/>
    <w:rsid w:val="009F2101"/>
    <w:rsid w:val="009F2B38"/>
    <w:rsid w:val="009F49DA"/>
    <w:rsid w:val="009F6AAA"/>
    <w:rsid w:val="009F7DF5"/>
    <w:rsid w:val="00A054C6"/>
    <w:rsid w:val="00A15B47"/>
    <w:rsid w:val="00A24CFF"/>
    <w:rsid w:val="00A27902"/>
    <w:rsid w:val="00A30CE6"/>
    <w:rsid w:val="00A32368"/>
    <w:rsid w:val="00A364D8"/>
    <w:rsid w:val="00A411F3"/>
    <w:rsid w:val="00A549EF"/>
    <w:rsid w:val="00A54AEB"/>
    <w:rsid w:val="00A55429"/>
    <w:rsid w:val="00A60E37"/>
    <w:rsid w:val="00A62BCA"/>
    <w:rsid w:val="00A73790"/>
    <w:rsid w:val="00A73B7E"/>
    <w:rsid w:val="00A75A0C"/>
    <w:rsid w:val="00A86F9C"/>
    <w:rsid w:val="00AB7359"/>
    <w:rsid w:val="00AC2B6B"/>
    <w:rsid w:val="00AC3470"/>
    <w:rsid w:val="00AD3077"/>
    <w:rsid w:val="00AD3421"/>
    <w:rsid w:val="00AD363A"/>
    <w:rsid w:val="00AD3B79"/>
    <w:rsid w:val="00AD3FE7"/>
    <w:rsid w:val="00AE2DEE"/>
    <w:rsid w:val="00AE3230"/>
    <w:rsid w:val="00AF2343"/>
    <w:rsid w:val="00B00B3E"/>
    <w:rsid w:val="00B01FC8"/>
    <w:rsid w:val="00B03639"/>
    <w:rsid w:val="00B037AD"/>
    <w:rsid w:val="00B05D9A"/>
    <w:rsid w:val="00B139E9"/>
    <w:rsid w:val="00B17528"/>
    <w:rsid w:val="00B17EFE"/>
    <w:rsid w:val="00B27C17"/>
    <w:rsid w:val="00B3162C"/>
    <w:rsid w:val="00B32B84"/>
    <w:rsid w:val="00B40F77"/>
    <w:rsid w:val="00B4364F"/>
    <w:rsid w:val="00B44136"/>
    <w:rsid w:val="00B4413D"/>
    <w:rsid w:val="00B45593"/>
    <w:rsid w:val="00B5288D"/>
    <w:rsid w:val="00B5604B"/>
    <w:rsid w:val="00B6462F"/>
    <w:rsid w:val="00B65878"/>
    <w:rsid w:val="00B7658E"/>
    <w:rsid w:val="00B769D8"/>
    <w:rsid w:val="00B9235C"/>
    <w:rsid w:val="00B9491F"/>
    <w:rsid w:val="00B95528"/>
    <w:rsid w:val="00B9598D"/>
    <w:rsid w:val="00B960E7"/>
    <w:rsid w:val="00B96A9A"/>
    <w:rsid w:val="00BA6395"/>
    <w:rsid w:val="00BA75E4"/>
    <w:rsid w:val="00BB4FF9"/>
    <w:rsid w:val="00BC1FFF"/>
    <w:rsid w:val="00BE096E"/>
    <w:rsid w:val="00BE4E42"/>
    <w:rsid w:val="00BF1234"/>
    <w:rsid w:val="00BF4B3C"/>
    <w:rsid w:val="00BF61EF"/>
    <w:rsid w:val="00C0527F"/>
    <w:rsid w:val="00C067E3"/>
    <w:rsid w:val="00C156F7"/>
    <w:rsid w:val="00C225D1"/>
    <w:rsid w:val="00C227A4"/>
    <w:rsid w:val="00C24706"/>
    <w:rsid w:val="00C266EE"/>
    <w:rsid w:val="00C351EA"/>
    <w:rsid w:val="00C4106F"/>
    <w:rsid w:val="00C46234"/>
    <w:rsid w:val="00C505D6"/>
    <w:rsid w:val="00C50939"/>
    <w:rsid w:val="00C56C5E"/>
    <w:rsid w:val="00C660AA"/>
    <w:rsid w:val="00C72F0F"/>
    <w:rsid w:val="00C90806"/>
    <w:rsid w:val="00C92B3E"/>
    <w:rsid w:val="00C96A4B"/>
    <w:rsid w:val="00CA03DD"/>
    <w:rsid w:val="00CA1C48"/>
    <w:rsid w:val="00CA5CAF"/>
    <w:rsid w:val="00CA7FA1"/>
    <w:rsid w:val="00CB22DD"/>
    <w:rsid w:val="00CB230E"/>
    <w:rsid w:val="00CC4EEF"/>
    <w:rsid w:val="00CD15E4"/>
    <w:rsid w:val="00CD222C"/>
    <w:rsid w:val="00CD3EC6"/>
    <w:rsid w:val="00CE0017"/>
    <w:rsid w:val="00CE2D21"/>
    <w:rsid w:val="00CE468D"/>
    <w:rsid w:val="00CE506F"/>
    <w:rsid w:val="00CE70BD"/>
    <w:rsid w:val="00D02E0B"/>
    <w:rsid w:val="00D13A70"/>
    <w:rsid w:val="00D32712"/>
    <w:rsid w:val="00D35331"/>
    <w:rsid w:val="00D53045"/>
    <w:rsid w:val="00D53E8B"/>
    <w:rsid w:val="00D54FB8"/>
    <w:rsid w:val="00D61D25"/>
    <w:rsid w:val="00D61FED"/>
    <w:rsid w:val="00D6210A"/>
    <w:rsid w:val="00D62CD7"/>
    <w:rsid w:val="00D66A0B"/>
    <w:rsid w:val="00D85621"/>
    <w:rsid w:val="00D8707D"/>
    <w:rsid w:val="00D90A38"/>
    <w:rsid w:val="00D910B7"/>
    <w:rsid w:val="00D92DE8"/>
    <w:rsid w:val="00DA1563"/>
    <w:rsid w:val="00DB057F"/>
    <w:rsid w:val="00DB632F"/>
    <w:rsid w:val="00DC0D15"/>
    <w:rsid w:val="00DD1ACA"/>
    <w:rsid w:val="00DD45EC"/>
    <w:rsid w:val="00DD524E"/>
    <w:rsid w:val="00DD5A28"/>
    <w:rsid w:val="00DD6355"/>
    <w:rsid w:val="00DD7440"/>
    <w:rsid w:val="00DE1013"/>
    <w:rsid w:val="00DE29B4"/>
    <w:rsid w:val="00DE32CD"/>
    <w:rsid w:val="00DF4268"/>
    <w:rsid w:val="00DF7D22"/>
    <w:rsid w:val="00E01F2A"/>
    <w:rsid w:val="00E21488"/>
    <w:rsid w:val="00E25DAF"/>
    <w:rsid w:val="00E266CD"/>
    <w:rsid w:val="00E41353"/>
    <w:rsid w:val="00E4455E"/>
    <w:rsid w:val="00E4634E"/>
    <w:rsid w:val="00E6255F"/>
    <w:rsid w:val="00E86405"/>
    <w:rsid w:val="00E86F2F"/>
    <w:rsid w:val="00E901EC"/>
    <w:rsid w:val="00E909A2"/>
    <w:rsid w:val="00EB5AF3"/>
    <w:rsid w:val="00EC2B92"/>
    <w:rsid w:val="00EC6B66"/>
    <w:rsid w:val="00EC6F95"/>
    <w:rsid w:val="00ED041D"/>
    <w:rsid w:val="00ED11CA"/>
    <w:rsid w:val="00ED5C7B"/>
    <w:rsid w:val="00ED6FCC"/>
    <w:rsid w:val="00EE18E2"/>
    <w:rsid w:val="00EE3A31"/>
    <w:rsid w:val="00EE71AA"/>
    <w:rsid w:val="00EE7289"/>
    <w:rsid w:val="00EF2EA2"/>
    <w:rsid w:val="00F0179D"/>
    <w:rsid w:val="00F04340"/>
    <w:rsid w:val="00F13D78"/>
    <w:rsid w:val="00F14303"/>
    <w:rsid w:val="00F2380A"/>
    <w:rsid w:val="00F24774"/>
    <w:rsid w:val="00F3159A"/>
    <w:rsid w:val="00F42B37"/>
    <w:rsid w:val="00F43CA6"/>
    <w:rsid w:val="00F4461C"/>
    <w:rsid w:val="00F45E12"/>
    <w:rsid w:val="00F54FFE"/>
    <w:rsid w:val="00F613C2"/>
    <w:rsid w:val="00F616AF"/>
    <w:rsid w:val="00F644C2"/>
    <w:rsid w:val="00F6473B"/>
    <w:rsid w:val="00F7126E"/>
    <w:rsid w:val="00F73AEB"/>
    <w:rsid w:val="00F75B17"/>
    <w:rsid w:val="00F81ECB"/>
    <w:rsid w:val="00F85829"/>
    <w:rsid w:val="00F873C9"/>
    <w:rsid w:val="00F90006"/>
    <w:rsid w:val="00F968E2"/>
    <w:rsid w:val="00F9765F"/>
    <w:rsid w:val="00FA1604"/>
    <w:rsid w:val="00FA2A14"/>
    <w:rsid w:val="00FA3D33"/>
    <w:rsid w:val="00FA455C"/>
    <w:rsid w:val="00FC370A"/>
    <w:rsid w:val="00FD692C"/>
    <w:rsid w:val="00FE0CF2"/>
    <w:rsid w:val="00FE2C74"/>
    <w:rsid w:val="00FF4E4F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9CBB-13B2-4EDA-8BCA-23242AF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11599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Sistenge Const. e Com. Ltda.</vt:lpstr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Sistenge Const. e Com. Ltda.</dc:title>
  <dc:creator>Jilson Torres da Silva</dc:creator>
  <dc:description>Fornecimento de Mercadorias Por Fornecedores para Canteiros de Obras em Operações Internas e Interestaduais</dc:description>
  <cp:lastModifiedBy>Thereza Marina Cunha M. Cunha</cp:lastModifiedBy>
  <cp:revision>2</cp:revision>
  <cp:lastPrinted>2018-08-10T14:50:00Z</cp:lastPrinted>
  <dcterms:created xsi:type="dcterms:W3CDTF">2018-09-21T19:10:00Z</dcterms:created>
  <dcterms:modified xsi:type="dcterms:W3CDTF">2018-09-21T19:10:00Z</dcterms:modified>
  <cp:category>E04-07910-18</cp:category>
</cp:coreProperties>
</file>