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BE2F92" w:rsidRPr="006F06F0" w:rsidTr="004630EC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E2F92" w:rsidRPr="000073A5" w:rsidRDefault="00BE2F92" w:rsidP="004630EC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0073A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F92" w:rsidRPr="000073A5" w:rsidRDefault="00BE2F92" w:rsidP="004630EC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0073A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E2F92" w:rsidRPr="00401BBB" w:rsidRDefault="006B2700" w:rsidP="006B2700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Sucessão societária. </w:t>
            </w:r>
            <w:r w:rsidR="000073A5" w:rsidRPr="000073A5">
              <w:rPr>
                <w:rFonts w:ascii="Times New Roman" w:hAnsi="Times New Roman"/>
                <w:szCs w:val="22"/>
              </w:rPr>
              <w:t>Manutenção d</w:t>
            </w:r>
            <w:r>
              <w:rPr>
                <w:rFonts w:ascii="Times New Roman" w:hAnsi="Times New Roman"/>
                <w:szCs w:val="22"/>
              </w:rPr>
              <w:t>os</w:t>
            </w:r>
            <w:r w:rsidR="000073A5" w:rsidRPr="000073A5">
              <w:rPr>
                <w:rFonts w:ascii="Times New Roman" w:hAnsi="Times New Roman"/>
                <w:szCs w:val="22"/>
              </w:rPr>
              <w:t xml:space="preserve"> créditos</w:t>
            </w:r>
            <w:r>
              <w:rPr>
                <w:rFonts w:ascii="Times New Roman" w:hAnsi="Times New Roman"/>
                <w:szCs w:val="22"/>
              </w:rPr>
              <w:t xml:space="preserve"> de ICMS pelo estabelecimento sucessor</w:t>
            </w:r>
            <w:r w:rsidR="000073A5">
              <w:rPr>
                <w:rFonts w:ascii="Times New Roman" w:hAnsi="Times New Roman"/>
                <w:szCs w:val="22"/>
              </w:rPr>
              <w:t xml:space="preserve">.  </w:t>
            </w:r>
          </w:p>
        </w:tc>
      </w:tr>
    </w:tbl>
    <w:p w:rsidR="00542EA5" w:rsidRPr="006F06F0" w:rsidRDefault="000073A5" w:rsidP="00E01F2A">
      <w:pPr>
        <w:spacing w:after="0" w:line="240" w:lineRule="auto"/>
        <w:ind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  <w:smallCaps/>
        </w:rPr>
        <w:t xml:space="preserve">Consulta   </w:t>
      </w:r>
      <w:r w:rsidR="00681357">
        <w:rPr>
          <w:rFonts w:ascii="Times New Roman" w:hAnsi="Times New Roman" w:cs="Times New Roman"/>
          <w:b/>
          <w:smallCaps/>
        </w:rPr>
        <w:t>066</w:t>
      </w:r>
      <w:r>
        <w:rPr>
          <w:rFonts w:ascii="Times New Roman" w:hAnsi="Times New Roman" w:cs="Times New Roman"/>
          <w:b/>
          <w:smallCaps/>
        </w:rPr>
        <w:t xml:space="preserve"> /2016</w:t>
      </w:r>
      <w:r>
        <w:rPr>
          <w:rFonts w:ascii="Times New Roman" w:hAnsi="Times New Roman" w:cs="Times New Roman"/>
        </w:rPr>
        <w:tab/>
      </w:r>
    </w:p>
    <w:p w:rsidR="002C4BC7" w:rsidRDefault="002C4BC7" w:rsidP="00E01F2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</w:p>
    <w:p w:rsidR="00FF6A79" w:rsidRDefault="00FF6A79" w:rsidP="007C1E3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b/>
          <w:smallCaps/>
        </w:rPr>
      </w:pPr>
    </w:p>
    <w:p w:rsidR="003B7F04" w:rsidRDefault="0010355B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F6B1A">
        <w:rPr>
          <w:rFonts w:ascii="Times New Roman" w:hAnsi="Times New Roman" w:cs="Times New Roman"/>
        </w:rPr>
        <w:t>Companhia Siderúrgica Nacional -</w:t>
      </w:r>
      <w:r>
        <w:rPr>
          <w:rFonts w:ascii="Times New Roman" w:hAnsi="Times New Roman" w:cs="Times New Roman"/>
        </w:rPr>
        <w:t xml:space="preserve"> </w:t>
      </w:r>
      <w:r w:rsidR="00757BC2">
        <w:rPr>
          <w:rFonts w:ascii="Times New Roman" w:hAnsi="Times New Roman" w:cs="Times New Roman"/>
        </w:rPr>
        <w:t>CSN</w:t>
      </w:r>
      <w:r>
        <w:rPr>
          <w:rFonts w:ascii="Times New Roman" w:hAnsi="Times New Roman" w:cs="Times New Roman"/>
        </w:rPr>
        <w:t xml:space="preserve">, em correspondência endereçada ao Secretário de Fazenda, apresentou alguns questionamentos acerca </w:t>
      </w:r>
      <w:r w:rsidR="000E45AC">
        <w:rPr>
          <w:rFonts w:ascii="Times New Roman" w:hAnsi="Times New Roman" w:cs="Times New Roman"/>
        </w:rPr>
        <w:t>do direito ao crédito de ICMS.  Após dar forma processual, a Sub</w:t>
      </w:r>
      <w:r w:rsidR="0000495C">
        <w:rPr>
          <w:rFonts w:ascii="Times New Roman" w:hAnsi="Times New Roman" w:cs="Times New Roman"/>
        </w:rPr>
        <w:t xml:space="preserve">secretaria da Receita encaminhou o </w:t>
      </w:r>
      <w:r w:rsidR="00757BC2">
        <w:rPr>
          <w:rFonts w:ascii="Times New Roman" w:hAnsi="Times New Roman" w:cs="Times New Roman"/>
        </w:rPr>
        <w:t>processo nº E-04/083/357/2015</w:t>
      </w:r>
      <w:r w:rsidR="0000495C">
        <w:rPr>
          <w:rFonts w:ascii="Times New Roman" w:hAnsi="Times New Roman" w:cs="Times New Roman"/>
        </w:rPr>
        <w:t xml:space="preserve"> a </w:t>
      </w:r>
      <w:proofErr w:type="gramStart"/>
      <w:r w:rsidR="0000495C">
        <w:rPr>
          <w:rFonts w:ascii="Times New Roman" w:hAnsi="Times New Roman" w:cs="Times New Roman"/>
        </w:rPr>
        <w:t>esta</w:t>
      </w:r>
      <w:proofErr w:type="gramEnd"/>
      <w:r w:rsidR="0000495C">
        <w:rPr>
          <w:rFonts w:ascii="Times New Roman" w:hAnsi="Times New Roman" w:cs="Times New Roman"/>
        </w:rPr>
        <w:t xml:space="preserve"> Superintendência de Tributação para análise. </w:t>
      </w:r>
      <w:r w:rsidR="003B7F04">
        <w:rPr>
          <w:rFonts w:ascii="Times New Roman" w:hAnsi="Times New Roman" w:cs="Times New Roman"/>
        </w:rPr>
        <w:t>Todavia</w:t>
      </w:r>
      <w:r w:rsidR="00757BC2">
        <w:rPr>
          <w:rFonts w:ascii="Times New Roman" w:hAnsi="Times New Roman" w:cs="Times New Roman"/>
        </w:rPr>
        <w:t xml:space="preserve">, o </w:t>
      </w:r>
      <w:r w:rsidR="003F6B1A">
        <w:rPr>
          <w:rFonts w:ascii="Times New Roman" w:hAnsi="Times New Roman" w:cs="Times New Roman"/>
        </w:rPr>
        <w:t>administrativo</w:t>
      </w:r>
      <w:r w:rsidR="00757BC2">
        <w:rPr>
          <w:rFonts w:ascii="Times New Roman" w:hAnsi="Times New Roman" w:cs="Times New Roman"/>
        </w:rPr>
        <w:t xml:space="preserve"> foi devolvido orientando o contribuinte a reapresentar o questionamento sob a forma de consulta tributária adequando-o às disposições do Capítulo VI do </w:t>
      </w:r>
      <w:r w:rsidR="00757BC2" w:rsidRPr="007C1E37">
        <w:rPr>
          <w:rFonts w:ascii="Times New Roman" w:hAnsi="Times New Roman" w:cs="Times New Roman"/>
        </w:rPr>
        <w:t>Decreto 2473</w:t>
      </w:r>
      <w:r w:rsidR="00757BC2">
        <w:rPr>
          <w:rFonts w:ascii="Times New Roman" w:hAnsi="Times New Roman" w:cs="Times New Roman"/>
        </w:rPr>
        <w:t xml:space="preserve">, de </w:t>
      </w:r>
      <w:proofErr w:type="gramStart"/>
      <w:r w:rsidR="00757BC2">
        <w:rPr>
          <w:rFonts w:ascii="Times New Roman" w:hAnsi="Times New Roman" w:cs="Times New Roman"/>
        </w:rPr>
        <w:t>6</w:t>
      </w:r>
      <w:proofErr w:type="gramEnd"/>
      <w:r w:rsidR="00757BC2">
        <w:rPr>
          <w:rFonts w:ascii="Times New Roman" w:hAnsi="Times New Roman" w:cs="Times New Roman"/>
        </w:rPr>
        <w:t xml:space="preserve"> de março de 19</w:t>
      </w:r>
      <w:r w:rsidR="00757BC2" w:rsidRPr="007C1E37">
        <w:rPr>
          <w:rFonts w:ascii="Times New Roman" w:hAnsi="Times New Roman" w:cs="Times New Roman"/>
        </w:rPr>
        <w:t>79</w:t>
      </w:r>
      <w:r w:rsidR="00757BC2">
        <w:rPr>
          <w:rFonts w:ascii="Times New Roman" w:hAnsi="Times New Roman" w:cs="Times New Roman"/>
        </w:rPr>
        <w:t xml:space="preserve">, em razão de </w:t>
      </w:r>
      <w:r w:rsidR="0000495C">
        <w:rPr>
          <w:rFonts w:ascii="Times New Roman" w:hAnsi="Times New Roman" w:cs="Times New Roman"/>
        </w:rPr>
        <w:t>as respostas às dúvidas apresentadas envolve</w:t>
      </w:r>
      <w:r w:rsidR="00757BC2">
        <w:rPr>
          <w:rFonts w:ascii="Times New Roman" w:hAnsi="Times New Roman" w:cs="Times New Roman"/>
        </w:rPr>
        <w:t>rem</w:t>
      </w:r>
      <w:r w:rsidR="0000495C">
        <w:rPr>
          <w:rFonts w:ascii="Times New Roman" w:hAnsi="Times New Roman" w:cs="Times New Roman"/>
        </w:rPr>
        <w:t xml:space="preserve"> interpre</w:t>
      </w:r>
      <w:r w:rsidR="00757BC2">
        <w:rPr>
          <w:rFonts w:ascii="Times New Roman" w:hAnsi="Times New Roman" w:cs="Times New Roman"/>
        </w:rPr>
        <w:t>tação da legislação tributária.</w:t>
      </w:r>
    </w:p>
    <w:p w:rsidR="003B7F04" w:rsidRDefault="003B7F04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3B7F04" w:rsidRDefault="003B7F04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Ocorre que o</w:t>
      </w:r>
      <w:r w:rsidR="00757BC2">
        <w:rPr>
          <w:rFonts w:ascii="Times New Roman" w:hAnsi="Times New Roman" w:cs="Times New Roman"/>
        </w:rPr>
        <w:t xml:space="preserve"> questionamento foi</w:t>
      </w:r>
      <w:r>
        <w:rPr>
          <w:rFonts w:ascii="Times New Roman" w:hAnsi="Times New Roman" w:cs="Times New Roman"/>
        </w:rPr>
        <w:t xml:space="preserve"> reapresent</w:t>
      </w:r>
      <w:r w:rsidR="00757BC2">
        <w:rPr>
          <w:rFonts w:ascii="Times New Roman" w:hAnsi="Times New Roman" w:cs="Times New Roman"/>
        </w:rPr>
        <w:t>ado</w:t>
      </w:r>
      <w:r>
        <w:rPr>
          <w:rFonts w:ascii="Times New Roman" w:hAnsi="Times New Roman" w:cs="Times New Roman"/>
        </w:rPr>
        <w:t xml:space="preserve"> no mesmo administrativo e</w:t>
      </w:r>
      <w:r w:rsidR="00D75E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novamente</w:t>
      </w:r>
      <w:r w:rsidR="00D75E45">
        <w:rPr>
          <w:rFonts w:ascii="Times New Roman" w:hAnsi="Times New Roman" w:cs="Times New Roman"/>
        </w:rPr>
        <w:t>, junto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Subsecretaria da Receita, contrariando o</w:t>
      </w:r>
      <w:r w:rsidR="00D75E45">
        <w:rPr>
          <w:rFonts w:ascii="Times New Roman" w:hAnsi="Times New Roman" w:cs="Times New Roman"/>
        </w:rPr>
        <w:t xml:space="preserve"> </w:t>
      </w:r>
      <w:r w:rsidR="00D75E45">
        <w:rPr>
          <w:rFonts w:ascii="Times New Roman" w:hAnsi="Times New Roman" w:cs="Times New Roman"/>
          <w:i/>
        </w:rPr>
        <w:t>caput</w:t>
      </w:r>
      <w:r w:rsidR="00D75E4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art.</w:t>
      </w:r>
      <w:r w:rsidR="00D75E45">
        <w:rPr>
          <w:rFonts w:ascii="Times New Roman" w:hAnsi="Times New Roman" w:cs="Times New Roman"/>
        </w:rPr>
        <w:t xml:space="preserve"> 151</w:t>
      </w:r>
      <w:r>
        <w:rPr>
          <w:rFonts w:ascii="Times New Roman" w:hAnsi="Times New Roman" w:cs="Times New Roman"/>
        </w:rPr>
        <w:t xml:space="preserve"> do Decreto nº 2.473/79</w:t>
      </w:r>
      <w:r w:rsidR="007867AB"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que determina sua apresentação na repartição fiscal de circunscrição do contribuinte. O local de apresentação é de fundamental importância tendo em vista</w:t>
      </w:r>
      <w:r w:rsidR="008526FA">
        <w:rPr>
          <w:rFonts w:ascii="Times New Roman" w:hAnsi="Times New Roman" w:cs="Times New Roman"/>
        </w:rPr>
        <w:t xml:space="preserve"> que, de acordo com os incisos I e II do art. 3º da Resolução nº 109, de </w:t>
      </w:r>
      <w:proofErr w:type="gramStart"/>
      <w:r w:rsidR="008526FA">
        <w:rPr>
          <w:rFonts w:ascii="Times New Roman" w:hAnsi="Times New Roman" w:cs="Times New Roman"/>
        </w:rPr>
        <w:t>3</w:t>
      </w:r>
      <w:proofErr w:type="gramEnd"/>
      <w:r w:rsidR="008526FA">
        <w:rPr>
          <w:rFonts w:ascii="Times New Roman" w:hAnsi="Times New Roman" w:cs="Times New Roman"/>
        </w:rPr>
        <w:t xml:space="preserve"> de setembro de 1976</w:t>
      </w:r>
      <w:r w:rsidR="007867AB">
        <w:rPr>
          <w:rStyle w:val="Refdenotaderodap"/>
          <w:rFonts w:ascii="Times New Roman" w:hAnsi="Times New Roman" w:cs="Times New Roman"/>
        </w:rPr>
        <w:footnoteReference w:id="2"/>
      </w:r>
      <w:r w:rsidR="008526FA">
        <w:rPr>
          <w:rFonts w:ascii="Times New Roman" w:hAnsi="Times New Roman" w:cs="Times New Roman"/>
        </w:rPr>
        <w:t xml:space="preserve">, </w:t>
      </w:r>
      <w:r w:rsidR="00D75E4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nformações </w:t>
      </w:r>
      <w:r w:rsidR="00D75E45">
        <w:rPr>
          <w:rFonts w:ascii="Times New Roman" w:hAnsi="Times New Roman" w:cs="Times New Roman"/>
        </w:rPr>
        <w:t xml:space="preserve">quanto a ação fiscal iniciada e não concluída junto ao consulente, bem como a existência de auto de infração </w:t>
      </w:r>
      <w:r w:rsidR="00D75E45" w:rsidRPr="008526FA">
        <w:rPr>
          <w:rFonts w:ascii="Times New Roman" w:hAnsi="Times New Roman" w:cs="Times New Roman"/>
        </w:rPr>
        <w:t>cujo fundamento esteja direta ou indiretamente relacionado às dúvidas suscitadas ainda pendente de decisão final</w:t>
      </w:r>
      <w:r w:rsidR="00D75E45">
        <w:rPr>
          <w:rFonts w:ascii="Times New Roman" w:hAnsi="Times New Roman" w:cs="Times New Roman"/>
        </w:rPr>
        <w:t xml:space="preserve">, </w:t>
      </w:r>
      <w:r w:rsidR="008526FA">
        <w:rPr>
          <w:rFonts w:ascii="Times New Roman" w:hAnsi="Times New Roman" w:cs="Times New Roman"/>
        </w:rPr>
        <w:t>são</w:t>
      </w:r>
      <w:r>
        <w:rPr>
          <w:rFonts w:ascii="Times New Roman" w:hAnsi="Times New Roman" w:cs="Times New Roman"/>
        </w:rPr>
        <w:t xml:space="preserve"> prestadas</w:t>
      </w:r>
      <w:r w:rsidR="00D75E45">
        <w:rPr>
          <w:rFonts w:ascii="Times New Roman" w:hAnsi="Times New Roman" w:cs="Times New Roman"/>
        </w:rPr>
        <w:t xml:space="preserve"> obrigatoriamente</w:t>
      </w:r>
      <w:r>
        <w:rPr>
          <w:rFonts w:ascii="Times New Roman" w:hAnsi="Times New Roman" w:cs="Times New Roman"/>
        </w:rPr>
        <w:t xml:space="preserve"> pela repartição fiscal d</w:t>
      </w:r>
      <w:r w:rsidR="00D75E45">
        <w:rPr>
          <w:rFonts w:ascii="Times New Roman" w:hAnsi="Times New Roman" w:cs="Times New Roman"/>
        </w:rPr>
        <w:t>e circunscrição do contribuinte</w:t>
      </w:r>
      <w:r w:rsidR="008526FA">
        <w:rPr>
          <w:rFonts w:ascii="Times New Roman" w:hAnsi="Times New Roman" w:cs="Times New Roman"/>
        </w:rPr>
        <w:t>.  Essas informações quando fornecidas pelo próprio contribuinte</w:t>
      </w:r>
      <w:r w:rsidR="00D75E45">
        <w:rPr>
          <w:rFonts w:ascii="Times New Roman" w:hAnsi="Times New Roman" w:cs="Times New Roman"/>
        </w:rPr>
        <w:t xml:space="preserve">, como consta </w:t>
      </w:r>
      <w:r w:rsidR="00D75E45" w:rsidRPr="00757BC2">
        <w:rPr>
          <w:rFonts w:ascii="Times New Roman" w:hAnsi="Times New Roman" w:cs="Times New Roman"/>
        </w:rPr>
        <w:t>da fl. 1</w:t>
      </w:r>
      <w:r w:rsidR="00757BC2" w:rsidRPr="00757BC2">
        <w:rPr>
          <w:rFonts w:ascii="Times New Roman" w:hAnsi="Times New Roman" w:cs="Times New Roman"/>
        </w:rPr>
        <w:t>0</w:t>
      </w:r>
      <w:r w:rsidR="00D75E45">
        <w:rPr>
          <w:rFonts w:ascii="Times New Roman" w:hAnsi="Times New Roman" w:cs="Times New Roman"/>
        </w:rPr>
        <w:t xml:space="preserve"> do presente,</w:t>
      </w:r>
      <w:r w:rsidR="008526FA">
        <w:rPr>
          <w:rFonts w:ascii="Times New Roman" w:hAnsi="Times New Roman" w:cs="Times New Roman"/>
        </w:rPr>
        <w:t xml:space="preserve"> são inócuas e não suprem a manifestação fiscal</w:t>
      </w:r>
      <w:r w:rsidR="003F6B1A">
        <w:rPr>
          <w:rFonts w:ascii="Times New Roman" w:hAnsi="Times New Roman" w:cs="Times New Roman"/>
        </w:rPr>
        <w:t>, estando</w:t>
      </w:r>
      <w:r w:rsidR="007867AB">
        <w:rPr>
          <w:rFonts w:ascii="Times New Roman" w:hAnsi="Times New Roman" w:cs="Times New Roman"/>
        </w:rPr>
        <w:t xml:space="preserve"> em desacordo com o comando legislativo.</w:t>
      </w:r>
    </w:p>
    <w:p w:rsidR="002200F3" w:rsidRDefault="002200F3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D75E45" w:rsidRDefault="00D75E45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Ressalte-se, ainda, que </w:t>
      </w:r>
      <w:r w:rsidR="00D2264A">
        <w:rPr>
          <w:rFonts w:ascii="Times New Roman" w:hAnsi="Times New Roman" w:cs="Times New Roman"/>
        </w:rPr>
        <w:t xml:space="preserve">o contribuinte Congonhas Minérios S.A. é </w:t>
      </w:r>
      <w:r>
        <w:rPr>
          <w:rFonts w:ascii="Times New Roman" w:hAnsi="Times New Roman" w:cs="Times New Roman"/>
        </w:rPr>
        <w:t xml:space="preserve">o </w:t>
      </w:r>
      <w:r w:rsidRPr="00D75E45">
        <w:rPr>
          <w:rFonts w:ascii="Times New Roman" w:hAnsi="Times New Roman" w:cs="Times New Roman"/>
        </w:rPr>
        <w:t>sujeito passivo da obrigação</w:t>
      </w:r>
      <w:r w:rsidR="00D2264A">
        <w:rPr>
          <w:rFonts w:ascii="Times New Roman" w:hAnsi="Times New Roman" w:cs="Times New Roman"/>
        </w:rPr>
        <w:t>, sendo o legalmente habilitado a formular consulta tributária, nos termos do art. 150 do PAT</w:t>
      </w:r>
      <w:r w:rsidR="001F3FEB">
        <w:rPr>
          <w:rFonts w:ascii="Times New Roman" w:hAnsi="Times New Roman" w:cs="Times New Roman"/>
        </w:rPr>
        <w:t xml:space="preserve">, </w:t>
      </w:r>
      <w:r w:rsidR="00D2264A">
        <w:rPr>
          <w:rFonts w:ascii="Times New Roman" w:hAnsi="Times New Roman" w:cs="Times New Roman"/>
        </w:rPr>
        <w:t>não sendo possível em um administrativo aberto em nome da CSN inserir questionamento apresentado por empresa diversa.</w:t>
      </w:r>
    </w:p>
    <w:p w:rsidR="003B7F04" w:rsidRDefault="003B7F04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D2264A" w:rsidRDefault="00D2264A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que pese todo o exposto, por razões de economia processual, e levando em consideração o fato de o restante da documentação estar em consonância com os demais dispositivos da</w:t>
      </w:r>
      <w:r w:rsidR="00BD7101">
        <w:rPr>
          <w:rFonts w:ascii="Times New Roman" w:hAnsi="Times New Roman" w:cs="Times New Roman"/>
        </w:rPr>
        <w:t xml:space="preserve"> Seção I do Capítulo VI do PAT, formalizamos o</w:t>
      </w:r>
      <w:r w:rsidR="00E52281">
        <w:rPr>
          <w:rFonts w:ascii="Times New Roman" w:hAnsi="Times New Roman" w:cs="Times New Roman"/>
        </w:rPr>
        <w:t xml:space="preserve"> presente administrativo a fim de respondermos aos questionamentos apresentados</w:t>
      </w:r>
      <w:r>
        <w:rPr>
          <w:rFonts w:ascii="Times New Roman" w:hAnsi="Times New Roman" w:cs="Times New Roman"/>
        </w:rPr>
        <w:t xml:space="preserve">, </w:t>
      </w:r>
      <w:r w:rsidRPr="00BD7101">
        <w:rPr>
          <w:rFonts w:ascii="Times New Roman" w:hAnsi="Times New Roman" w:cs="Times New Roman"/>
          <w:b/>
          <w:u w:val="single"/>
        </w:rPr>
        <w:t xml:space="preserve">condicionando </w:t>
      </w:r>
      <w:r w:rsidR="00E52281" w:rsidRPr="00BD7101">
        <w:rPr>
          <w:rFonts w:ascii="Times New Roman" w:hAnsi="Times New Roman" w:cs="Times New Roman"/>
          <w:b/>
          <w:u w:val="single"/>
        </w:rPr>
        <w:t>a</w:t>
      </w:r>
      <w:r w:rsidRPr="00BD7101">
        <w:rPr>
          <w:rFonts w:ascii="Times New Roman" w:hAnsi="Times New Roman" w:cs="Times New Roman"/>
          <w:b/>
          <w:u w:val="single"/>
        </w:rPr>
        <w:t xml:space="preserve"> ciência</w:t>
      </w:r>
      <w:r w:rsidR="00E52281" w:rsidRPr="00BD7101">
        <w:rPr>
          <w:rFonts w:ascii="Times New Roman" w:hAnsi="Times New Roman" w:cs="Times New Roman"/>
          <w:b/>
          <w:u w:val="single"/>
        </w:rPr>
        <w:t xml:space="preserve"> do parecer</w:t>
      </w:r>
      <w:r w:rsidRPr="00BD7101">
        <w:rPr>
          <w:rFonts w:ascii="Times New Roman" w:hAnsi="Times New Roman" w:cs="Times New Roman"/>
          <w:b/>
          <w:u w:val="single"/>
        </w:rPr>
        <w:t xml:space="preserve"> à inexistência de ação fiscal iniciada e não concluída junto ao consulente, bem como de auto de infração cujo fundamento esteja direta ou indiretamente relacionado às dúvidas </w:t>
      </w:r>
      <w:proofErr w:type="gramStart"/>
      <w:r w:rsidRPr="00BD7101">
        <w:rPr>
          <w:rFonts w:ascii="Times New Roman" w:hAnsi="Times New Roman" w:cs="Times New Roman"/>
          <w:b/>
          <w:u w:val="single"/>
        </w:rPr>
        <w:t>suscitadas ainda pendente de decisão final</w:t>
      </w:r>
      <w:proofErr w:type="gramEnd"/>
      <w:r w:rsidRPr="00BD7101">
        <w:rPr>
          <w:rFonts w:ascii="Times New Roman" w:hAnsi="Times New Roman" w:cs="Times New Roman"/>
          <w:b/>
          <w:u w:val="single"/>
        </w:rPr>
        <w:t>.  Informações essas que devem ser atestadas pela rep</w:t>
      </w:r>
      <w:r w:rsidR="00CB38E5" w:rsidRPr="00BD7101">
        <w:rPr>
          <w:rFonts w:ascii="Times New Roman" w:hAnsi="Times New Roman" w:cs="Times New Roman"/>
          <w:b/>
          <w:u w:val="single"/>
        </w:rPr>
        <w:t>artição fiscal n</w:t>
      </w:r>
      <w:r w:rsidR="001F3FEB" w:rsidRPr="00BD7101">
        <w:rPr>
          <w:rFonts w:ascii="Times New Roman" w:hAnsi="Times New Roman" w:cs="Times New Roman"/>
          <w:b/>
          <w:u w:val="single"/>
        </w:rPr>
        <w:t>este administrativo</w:t>
      </w:r>
      <w:r w:rsidR="00CB38E5" w:rsidRPr="00BD7101">
        <w:rPr>
          <w:rFonts w:ascii="Times New Roman" w:hAnsi="Times New Roman" w:cs="Times New Roman"/>
          <w:b/>
          <w:u w:val="single"/>
        </w:rPr>
        <w:t xml:space="preserve"> antes de intimar o contribuinte a tomar ciência d</w:t>
      </w:r>
      <w:r w:rsidR="001F3FEB" w:rsidRPr="00BD7101">
        <w:rPr>
          <w:rFonts w:ascii="Times New Roman" w:hAnsi="Times New Roman" w:cs="Times New Roman"/>
          <w:b/>
          <w:u w:val="single"/>
        </w:rPr>
        <w:t>a solução de consulta</w:t>
      </w:r>
      <w:r w:rsidR="00CB38E5">
        <w:rPr>
          <w:rFonts w:ascii="Times New Roman" w:hAnsi="Times New Roman" w:cs="Times New Roman"/>
        </w:rPr>
        <w:t>.</w:t>
      </w:r>
    </w:p>
    <w:p w:rsidR="007867AB" w:rsidRDefault="007867AB" w:rsidP="003B7F04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872CED" w:rsidRDefault="00872CED" w:rsidP="00872CED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5259" w:rsidRDefault="00235259" w:rsidP="00872CED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872CED" w:rsidRDefault="00872CED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67AB">
        <w:rPr>
          <w:rFonts w:ascii="Times New Roman" w:hAnsi="Times New Roman" w:cs="Times New Roman"/>
        </w:rPr>
        <w:t xml:space="preserve"> consulente relata que</w:t>
      </w:r>
      <w:r>
        <w:rPr>
          <w:rFonts w:ascii="Times New Roman" w:hAnsi="Times New Roman" w:cs="Times New Roman"/>
        </w:rPr>
        <w:t xml:space="preserve">, </w:t>
      </w:r>
      <w:proofErr w:type="gramStart"/>
      <w:r w:rsidR="009D169F">
        <w:rPr>
          <w:rFonts w:ascii="Times New Roman" w:hAnsi="Times New Roman" w:cs="Times New Roman"/>
        </w:rPr>
        <w:t>“...</w:t>
      </w:r>
      <w:proofErr w:type="gramEnd"/>
      <w:r w:rsidRPr="00986450">
        <w:rPr>
          <w:rFonts w:ascii="Times New Roman" w:hAnsi="Times New Roman" w:cs="Times New Roman"/>
          <w:i/>
        </w:rPr>
        <w:t xml:space="preserve">com o intuito de segregar as operações de </w:t>
      </w:r>
      <w:r w:rsidR="007867AB" w:rsidRPr="00986450">
        <w:rPr>
          <w:rFonts w:ascii="Times New Roman" w:hAnsi="Times New Roman" w:cs="Times New Roman"/>
          <w:i/>
        </w:rPr>
        <w:t xml:space="preserve">mineração, transporte ferroviário e portuário, </w:t>
      </w:r>
      <w:r w:rsidR="009D169F" w:rsidRPr="00986450">
        <w:rPr>
          <w:rFonts w:ascii="Times New Roman" w:hAnsi="Times New Roman" w:cs="Times New Roman"/>
          <w:i/>
        </w:rPr>
        <w:t xml:space="preserve">a CSN </w:t>
      </w:r>
      <w:r w:rsidR="007867AB" w:rsidRPr="00986450">
        <w:rPr>
          <w:rFonts w:ascii="Times New Roman" w:hAnsi="Times New Roman" w:cs="Times New Roman"/>
          <w:b/>
          <w:i/>
        </w:rPr>
        <w:t>criou</w:t>
      </w:r>
      <w:r w:rsidR="007867AB" w:rsidRPr="00986450">
        <w:rPr>
          <w:rFonts w:ascii="Times New Roman" w:hAnsi="Times New Roman" w:cs="Times New Roman"/>
          <w:i/>
        </w:rPr>
        <w:t xml:space="preserve"> a empresa Congonhas</w:t>
      </w:r>
      <w:r w:rsidR="009D169F">
        <w:rPr>
          <w:rFonts w:ascii="Times New Roman" w:hAnsi="Times New Roman" w:cs="Times New Roman"/>
        </w:rPr>
        <w:t>...”</w:t>
      </w:r>
      <w:r w:rsidR="007867AB">
        <w:rPr>
          <w:rFonts w:ascii="Times New Roman" w:hAnsi="Times New Roman" w:cs="Times New Roman"/>
        </w:rPr>
        <w:t xml:space="preserve">, com matriz </w:t>
      </w:r>
      <w:r>
        <w:rPr>
          <w:rFonts w:ascii="Times New Roman" w:hAnsi="Times New Roman" w:cs="Times New Roman"/>
        </w:rPr>
        <w:t>no Estado de Minas Gerais e filial no município de Itaguaí, no Estado do Rio de Janeiro</w:t>
      </w:r>
      <w:r w:rsidR="00986450">
        <w:rPr>
          <w:rFonts w:ascii="Times New Roman" w:hAnsi="Times New Roman" w:cs="Times New Roman"/>
        </w:rPr>
        <w:t xml:space="preserve"> (fl.</w:t>
      </w:r>
      <w:r>
        <w:rPr>
          <w:rFonts w:ascii="Times New Roman" w:hAnsi="Times New Roman" w:cs="Times New Roman"/>
        </w:rPr>
        <w:t>.</w:t>
      </w:r>
    </w:p>
    <w:p w:rsidR="00872CED" w:rsidRDefault="00872CED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872CED" w:rsidRDefault="00872CED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30</w:t>
      </w:r>
      <w:r w:rsidR="00235259">
        <w:rPr>
          <w:rFonts w:ascii="Times New Roman" w:hAnsi="Times New Roman" w:cs="Times New Roman"/>
        </w:rPr>
        <w:t xml:space="preserve"> de novembro de 2015</w:t>
      </w:r>
      <w:r w:rsidR="00600951">
        <w:rPr>
          <w:rFonts w:ascii="Times New Roman" w:hAnsi="Times New Roman" w:cs="Times New Roman"/>
        </w:rPr>
        <w:t xml:space="preserve">, o estabelecimento fluminense da CSN transferiu ativos para o estabelecimento da Congonhas Minérios, localizado em Itaguaí, neste Estado.  No Estado de Minas Gerais foi realizado o mesmo procedimento entre os estabelecimentos das </w:t>
      </w:r>
      <w:proofErr w:type="gramStart"/>
      <w:r w:rsidR="00600951">
        <w:rPr>
          <w:rFonts w:ascii="Times New Roman" w:hAnsi="Times New Roman" w:cs="Times New Roman"/>
        </w:rPr>
        <w:t>2</w:t>
      </w:r>
      <w:proofErr w:type="gramEnd"/>
      <w:r w:rsidR="00600951">
        <w:rPr>
          <w:rFonts w:ascii="Times New Roman" w:hAnsi="Times New Roman" w:cs="Times New Roman"/>
        </w:rPr>
        <w:t xml:space="preserve"> (duas) empresas localizados naquela UF</w:t>
      </w:r>
      <w:r w:rsidR="009D16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Em </w:t>
      </w:r>
      <w:r w:rsidR="00600951">
        <w:rPr>
          <w:rFonts w:ascii="Times New Roman" w:hAnsi="Times New Roman" w:cs="Times New Roman"/>
        </w:rPr>
        <w:t xml:space="preserve">decorrência dessas operações </w:t>
      </w:r>
      <w:r>
        <w:rPr>
          <w:rFonts w:ascii="Times New Roman" w:hAnsi="Times New Roman" w:cs="Times New Roman"/>
        </w:rPr>
        <w:t xml:space="preserve">a </w:t>
      </w:r>
      <w:r w:rsidR="009D169F">
        <w:rPr>
          <w:rFonts w:ascii="Times New Roman" w:hAnsi="Times New Roman" w:cs="Times New Roman"/>
        </w:rPr>
        <w:t>CSN</w:t>
      </w:r>
      <w:r>
        <w:rPr>
          <w:rFonts w:ascii="Times New Roman" w:hAnsi="Times New Roman" w:cs="Times New Roman"/>
        </w:rPr>
        <w:t xml:space="preserve"> recebeu o equivalente em participação societária </w:t>
      </w:r>
      <w:r w:rsidR="00600951">
        <w:rPr>
          <w:rFonts w:ascii="Times New Roman" w:hAnsi="Times New Roman" w:cs="Times New Roman"/>
        </w:rPr>
        <w:t>na empresa Congonhas Minérios</w:t>
      </w:r>
      <w:r w:rsidR="009D169F">
        <w:rPr>
          <w:rFonts w:ascii="Times New Roman" w:hAnsi="Times New Roman" w:cs="Times New Roman"/>
        </w:rPr>
        <w:t>.</w:t>
      </w:r>
    </w:p>
    <w:p w:rsidR="009D169F" w:rsidRDefault="009D169F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872CED" w:rsidRDefault="00600951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consulente procede em seu relato afirmando que </w:t>
      </w:r>
      <w:r w:rsidR="009D169F">
        <w:rPr>
          <w:rFonts w:ascii="Times New Roman" w:hAnsi="Times New Roman" w:cs="Times New Roman"/>
        </w:rPr>
        <w:t>“</w:t>
      </w:r>
      <w:r w:rsidR="00872CED" w:rsidRPr="00600951">
        <w:rPr>
          <w:rFonts w:ascii="Times New Roman" w:hAnsi="Times New Roman" w:cs="Times New Roman"/>
          <w:i/>
        </w:rPr>
        <w:t xml:space="preserve">Não houve mudança de endereço, paralização ou alteração das atividades de nenhum dos estabelecimentos. A única alteração foi no nome da sociedade detentora dos estabelecimentos, posto que </w:t>
      </w:r>
      <w:proofErr w:type="gramStart"/>
      <w:r w:rsidR="00872CED" w:rsidRPr="00600951">
        <w:rPr>
          <w:rFonts w:ascii="Times New Roman" w:hAnsi="Times New Roman" w:cs="Times New Roman"/>
          <w:i/>
        </w:rPr>
        <w:t>deixou</w:t>
      </w:r>
      <w:proofErr w:type="gramEnd"/>
      <w:r w:rsidR="00872CED" w:rsidRPr="00600951">
        <w:rPr>
          <w:rFonts w:ascii="Times New Roman" w:hAnsi="Times New Roman" w:cs="Times New Roman"/>
          <w:i/>
        </w:rPr>
        <w:t xml:space="preserve"> de ser a </w:t>
      </w:r>
      <w:r w:rsidR="009D169F" w:rsidRPr="00600951">
        <w:rPr>
          <w:rFonts w:ascii="Times New Roman" w:hAnsi="Times New Roman" w:cs="Times New Roman"/>
          <w:i/>
        </w:rPr>
        <w:t>Companhia Siderúrgica Nacional</w:t>
      </w:r>
      <w:r w:rsidR="00872CED" w:rsidRPr="00600951">
        <w:rPr>
          <w:rFonts w:ascii="Times New Roman" w:hAnsi="Times New Roman" w:cs="Times New Roman"/>
          <w:i/>
        </w:rPr>
        <w:t xml:space="preserve"> para ser a </w:t>
      </w:r>
      <w:r w:rsidR="009D169F" w:rsidRPr="00600951">
        <w:rPr>
          <w:rFonts w:ascii="Times New Roman" w:hAnsi="Times New Roman" w:cs="Times New Roman"/>
          <w:i/>
        </w:rPr>
        <w:t>C</w:t>
      </w:r>
      <w:r w:rsidR="00872CED" w:rsidRPr="00600951">
        <w:rPr>
          <w:rFonts w:ascii="Times New Roman" w:hAnsi="Times New Roman" w:cs="Times New Roman"/>
          <w:i/>
        </w:rPr>
        <w:t xml:space="preserve">ongonhas </w:t>
      </w:r>
      <w:r w:rsidR="009D169F" w:rsidRPr="00600951">
        <w:rPr>
          <w:rFonts w:ascii="Times New Roman" w:hAnsi="Times New Roman" w:cs="Times New Roman"/>
          <w:i/>
        </w:rPr>
        <w:t>M</w:t>
      </w:r>
      <w:r w:rsidR="00872CED" w:rsidRPr="00600951">
        <w:rPr>
          <w:rFonts w:ascii="Times New Roman" w:hAnsi="Times New Roman" w:cs="Times New Roman"/>
          <w:i/>
        </w:rPr>
        <w:t>inérios</w:t>
      </w:r>
      <w:r w:rsidR="009D169F" w:rsidRPr="00600951">
        <w:rPr>
          <w:rFonts w:ascii="Times New Roman" w:hAnsi="Times New Roman" w:cs="Times New Roman"/>
          <w:i/>
        </w:rPr>
        <w:t xml:space="preserve"> S.A.</w:t>
      </w:r>
      <w:r w:rsidR="009D169F">
        <w:rPr>
          <w:rFonts w:ascii="Times New Roman" w:hAnsi="Times New Roman" w:cs="Times New Roman"/>
        </w:rPr>
        <w:t>”</w:t>
      </w:r>
    </w:p>
    <w:p w:rsidR="009D169F" w:rsidRDefault="009D169F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872CED" w:rsidRPr="00986450" w:rsidRDefault="00986450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Afirma que a</w:t>
      </w:r>
      <w:r w:rsidR="00872CED">
        <w:rPr>
          <w:rFonts w:ascii="Times New Roman" w:hAnsi="Times New Roman" w:cs="Times New Roman"/>
        </w:rPr>
        <w:t xml:space="preserve">s atividades até então realizadas </w:t>
      </w:r>
      <w:r w:rsidR="00235259">
        <w:rPr>
          <w:rFonts w:ascii="Times New Roman" w:hAnsi="Times New Roman" w:cs="Times New Roman"/>
        </w:rPr>
        <w:t>no estabelecimento</w:t>
      </w:r>
      <w:r w:rsidR="00600951">
        <w:rPr>
          <w:rFonts w:ascii="Times New Roman" w:hAnsi="Times New Roman" w:cs="Times New Roman"/>
        </w:rPr>
        <w:t xml:space="preserve"> fluminense da CSN, </w:t>
      </w:r>
      <w:r w:rsidR="00235259">
        <w:rPr>
          <w:rFonts w:ascii="Times New Roman" w:hAnsi="Times New Roman" w:cs="Times New Roman"/>
        </w:rPr>
        <w:t xml:space="preserve">I.E. </w:t>
      </w:r>
      <w:proofErr w:type="gramStart"/>
      <w:r w:rsidR="00235259">
        <w:rPr>
          <w:rFonts w:ascii="Times New Roman" w:hAnsi="Times New Roman" w:cs="Times New Roman"/>
        </w:rPr>
        <w:t>nº</w:t>
      </w:r>
      <w:proofErr w:type="gramEnd"/>
      <w:r w:rsidR="00872CED">
        <w:rPr>
          <w:rFonts w:ascii="Times New Roman" w:hAnsi="Times New Roman" w:cs="Times New Roman"/>
        </w:rPr>
        <w:t xml:space="preserve"> 84</w:t>
      </w:r>
      <w:r w:rsidR="00235259">
        <w:rPr>
          <w:rFonts w:ascii="Times New Roman" w:hAnsi="Times New Roman" w:cs="Times New Roman"/>
        </w:rPr>
        <w:t>.</w:t>
      </w:r>
      <w:r w:rsidR="00872CED">
        <w:rPr>
          <w:rFonts w:ascii="Times New Roman" w:hAnsi="Times New Roman" w:cs="Times New Roman"/>
        </w:rPr>
        <w:t>637</w:t>
      </w:r>
      <w:r w:rsidR="00235259">
        <w:rPr>
          <w:rFonts w:ascii="Times New Roman" w:hAnsi="Times New Roman" w:cs="Times New Roman"/>
        </w:rPr>
        <w:t>.</w:t>
      </w:r>
      <w:r w:rsidR="00872CED">
        <w:rPr>
          <w:rFonts w:ascii="Times New Roman" w:hAnsi="Times New Roman" w:cs="Times New Roman"/>
        </w:rPr>
        <w:t>114</w:t>
      </w:r>
      <w:r w:rsidR="00235259">
        <w:rPr>
          <w:rFonts w:ascii="Times New Roman" w:hAnsi="Times New Roman" w:cs="Times New Roman"/>
        </w:rPr>
        <w:t xml:space="preserve">, a partir de 31 de dezembro de 2015, </w:t>
      </w:r>
      <w:r w:rsidR="00872CED">
        <w:rPr>
          <w:rFonts w:ascii="Times New Roman" w:hAnsi="Times New Roman" w:cs="Times New Roman"/>
        </w:rPr>
        <w:t>foram</w:t>
      </w:r>
      <w:r w:rsidR="00600951">
        <w:rPr>
          <w:rFonts w:ascii="Times New Roman" w:hAnsi="Times New Roman" w:cs="Times New Roman"/>
        </w:rPr>
        <w:t>, nas palavras da consulente,</w:t>
      </w:r>
      <w:r w:rsidR="00872CED">
        <w:rPr>
          <w:rFonts w:ascii="Times New Roman" w:hAnsi="Times New Roman" w:cs="Times New Roman"/>
        </w:rPr>
        <w:t xml:space="preserve"> “incorporadas” po</w:t>
      </w:r>
      <w:r w:rsidR="00600951">
        <w:rPr>
          <w:rFonts w:ascii="Times New Roman" w:hAnsi="Times New Roman" w:cs="Times New Roman"/>
        </w:rPr>
        <w:t>r seu</w:t>
      </w:r>
      <w:r w:rsidR="00872CED">
        <w:rPr>
          <w:rFonts w:ascii="Times New Roman" w:hAnsi="Times New Roman" w:cs="Times New Roman"/>
        </w:rPr>
        <w:t xml:space="preserve"> estabelecimento</w:t>
      </w:r>
      <w:r w:rsidR="00600951">
        <w:rPr>
          <w:rFonts w:ascii="Times New Roman" w:hAnsi="Times New Roman" w:cs="Times New Roman"/>
        </w:rPr>
        <w:t>,</w:t>
      </w:r>
      <w:r w:rsidR="00872CED">
        <w:rPr>
          <w:rFonts w:ascii="Times New Roman" w:hAnsi="Times New Roman" w:cs="Times New Roman"/>
        </w:rPr>
        <w:t xml:space="preserve"> </w:t>
      </w:r>
      <w:r w:rsidR="00235259">
        <w:rPr>
          <w:rFonts w:ascii="Times New Roman" w:hAnsi="Times New Roman" w:cs="Times New Roman"/>
        </w:rPr>
        <w:t>I.E.</w:t>
      </w:r>
      <w:r w:rsidR="00872CED">
        <w:rPr>
          <w:rFonts w:ascii="Times New Roman" w:hAnsi="Times New Roman" w:cs="Times New Roman"/>
        </w:rPr>
        <w:t xml:space="preserve"> 78.903.449</w:t>
      </w:r>
      <w:r w:rsidR="002352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 que ambos os estabelecimentos </w:t>
      </w:r>
      <w:r w:rsidR="00235259" w:rsidRPr="00986450">
        <w:rPr>
          <w:rFonts w:ascii="Times New Roman" w:hAnsi="Times New Roman" w:cs="Times New Roman"/>
        </w:rPr>
        <w:t>estão</w:t>
      </w:r>
      <w:r w:rsidR="00872CED" w:rsidRPr="00986450">
        <w:rPr>
          <w:rFonts w:ascii="Times New Roman" w:hAnsi="Times New Roman" w:cs="Times New Roman"/>
        </w:rPr>
        <w:t xml:space="preserve"> registrados no mesmo endereço</w:t>
      </w:r>
      <w:r>
        <w:rPr>
          <w:rFonts w:ascii="Times New Roman" w:hAnsi="Times New Roman" w:cs="Times New Roman"/>
        </w:rPr>
        <w:t xml:space="preserve"> (fl.8)</w:t>
      </w:r>
      <w:r w:rsidR="00872CED" w:rsidRPr="00986450">
        <w:rPr>
          <w:rFonts w:ascii="Times New Roman" w:hAnsi="Times New Roman" w:cs="Times New Roman"/>
        </w:rPr>
        <w:t>.</w:t>
      </w:r>
    </w:p>
    <w:p w:rsidR="00F82F70" w:rsidRDefault="00F82F70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F82F70" w:rsidRDefault="00600951" w:rsidP="00872CED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fl. </w:t>
      </w:r>
      <w:r w:rsidR="009864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</w:t>
      </w:r>
      <w:r w:rsidR="00F82F70">
        <w:rPr>
          <w:rFonts w:ascii="Times New Roman" w:hAnsi="Times New Roman" w:cs="Times New Roman"/>
        </w:rPr>
        <w:t xml:space="preserve">foi apresentado fluxograma </w:t>
      </w:r>
      <w:r>
        <w:rPr>
          <w:rFonts w:ascii="Times New Roman" w:hAnsi="Times New Roman" w:cs="Times New Roman"/>
        </w:rPr>
        <w:t>com</w:t>
      </w:r>
      <w:r w:rsidR="00F82F70">
        <w:rPr>
          <w:rFonts w:ascii="Times New Roman" w:hAnsi="Times New Roman" w:cs="Times New Roman"/>
        </w:rPr>
        <w:t xml:space="preserve"> as seguintes informações:</w:t>
      </w:r>
    </w:p>
    <w:p w:rsidR="00F82F70" w:rsidRDefault="00F82F70" w:rsidP="00F82F70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CSN – </w:t>
      </w:r>
      <w:proofErr w:type="gramStart"/>
      <w:r>
        <w:rPr>
          <w:rFonts w:ascii="Times New Roman" w:hAnsi="Times New Roman" w:cs="Times New Roman"/>
        </w:rPr>
        <w:t>“</w:t>
      </w:r>
      <w:r w:rsidRPr="00986450">
        <w:rPr>
          <w:rFonts w:ascii="Times New Roman" w:hAnsi="Times New Roman" w:cs="Times New Roman"/>
          <w:i/>
        </w:rPr>
        <w:t xml:space="preserve">permanece com as atividades de siderurgia e </w:t>
      </w:r>
      <w:r w:rsidRPr="00986450">
        <w:rPr>
          <w:rFonts w:ascii="Times New Roman" w:hAnsi="Times New Roman" w:cs="Times New Roman"/>
          <w:b/>
          <w:i/>
        </w:rPr>
        <w:t>com participação societária na empresa Congonhas Minérios</w:t>
      </w:r>
      <w:r>
        <w:rPr>
          <w:rFonts w:ascii="Times New Roman" w:hAnsi="Times New Roman" w:cs="Times New Roman"/>
        </w:rPr>
        <w:t>.</w:t>
      </w:r>
      <w:proofErr w:type="gramEnd"/>
    </w:p>
    <w:p w:rsidR="00E206E1" w:rsidRDefault="00E206E1" w:rsidP="00F82F70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Congonhas Minérios – “</w:t>
      </w:r>
      <w:r w:rsidRPr="00986450">
        <w:rPr>
          <w:rFonts w:ascii="Times New Roman" w:hAnsi="Times New Roman" w:cs="Times New Roman"/>
          <w:i/>
        </w:rPr>
        <w:t>assume as atividades de mineração através da Matriz em MG e Portuárias, através da filial em Itaguaí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”</w:t>
      </w:r>
      <w:proofErr w:type="gramEnd"/>
    </w:p>
    <w:p w:rsidR="00E206E1" w:rsidRDefault="00E206E1" w:rsidP="00F82F70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F91D29" w:rsidRDefault="00F91D29" w:rsidP="00F91D29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estabelecimento da CSN, filial Itaguaí, em 31/12/2015, era detentor de saldo credor decorrente de aquisições de insumos e de bens do ativo relacionados </w:t>
      </w:r>
      <w:r w:rsidR="00CE08DC">
        <w:rPr>
          <w:rFonts w:ascii="Times New Roman" w:hAnsi="Times New Roman" w:cs="Times New Roman"/>
        </w:rPr>
        <w:t>à sua</w:t>
      </w:r>
      <w:r>
        <w:rPr>
          <w:rFonts w:ascii="Times New Roman" w:hAnsi="Times New Roman" w:cs="Times New Roman"/>
        </w:rPr>
        <w:t xml:space="preserve"> atividade, com a transferência desses ativos para a </w:t>
      </w:r>
      <w:r w:rsidR="00CE08DC">
        <w:rPr>
          <w:rFonts w:ascii="Times New Roman" w:hAnsi="Times New Roman" w:cs="Times New Roman"/>
        </w:rPr>
        <w:t>Congonhas Minérios</w:t>
      </w:r>
      <w:r>
        <w:rPr>
          <w:rFonts w:ascii="Times New Roman" w:hAnsi="Times New Roman" w:cs="Times New Roman"/>
        </w:rPr>
        <w:t>, que passou a exercer atividades antes executadas pela CSN, a consulente entende ser detentora do direito a esse saldo credor.</w:t>
      </w:r>
    </w:p>
    <w:p w:rsidR="001044CD" w:rsidRDefault="001044CD" w:rsidP="004D4212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507B2F" w:rsidRDefault="00245745" w:rsidP="004D4212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CE08DC">
        <w:rPr>
          <w:rFonts w:ascii="Times New Roman" w:hAnsi="Times New Roman" w:cs="Times New Roman"/>
        </w:rPr>
        <w:t>dicionalmente, a</w:t>
      </w:r>
      <w:r>
        <w:rPr>
          <w:rFonts w:ascii="Times New Roman" w:hAnsi="Times New Roman" w:cs="Times New Roman"/>
        </w:rPr>
        <w:t xml:space="preserve"> consulente</w:t>
      </w:r>
      <w:r w:rsidR="00CE08DC">
        <w:rPr>
          <w:rFonts w:ascii="Times New Roman" w:hAnsi="Times New Roman" w:cs="Times New Roman"/>
        </w:rPr>
        <w:t xml:space="preserve">, à fl. </w:t>
      </w:r>
      <w:r w:rsidR="00986450">
        <w:rPr>
          <w:rFonts w:ascii="Times New Roman" w:hAnsi="Times New Roman" w:cs="Times New Roman"/>
        </w:rPr>
        <w:t>9</w:t>
      </w:r>
      <w:r w:rsidR="00CE0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04388">
        <w:rPr>
          <w:rFonts w:ascii="Times New Roman" w:hAnsi="Times New Roman" w:cs="Times New Roman"/>
        </w:rPr>
        <w:t>afirma que</w:t>
      </w:r>
      <w:r>
        <w:rPr>
          <w:rFonts w:ascii="Times New Roman" w:hAnsi="Times New Roman" w:cs="Times New Roman"/>
        </w:rPr>
        <w:t>:</w:t>
      </w:r>
    </w:p>
    <w:p w:rsidR="00507B2F" w:rsidRDefault="00507B2F" w:rsidP="004D4212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E08DC">
        <w:rPr>
          <w:rFonts w:ascii="Times New Roman" w:hAnsi="Times New Roman" w:cs="Times New Roman"/>
          <w:b/>
          <w:u w:val="single"/>
        </w:rPr>
        <w:t>a alteração da denominação empresarial, ocorrida em função da aquisição do estabelecimento, manteve inalterada</w:t>
      </w:r>
      <w:r w:rsidR="000A0A3E" w:rsidRPr="00CE08DC">
        <w:rPr>
          <w:rFonts w:ascii="Times New Roman" w:hAnsi="Times New Roman" w:cs="Times New Roman"/>
          <w:b/>
          <w:u w:val="single"/>
        </w:rPr>
        <w:t>s</w:t>
      </w:r>
      <w:r w:rsidRPr="00CE08DC">
        <w:rPr>
          <w:rFonts w:ascii="Times New Roman" w:hAnsi="Times New Roman" w:cs="Times New Roman"/>
          <w:b/>
          <w:u w:val="single"/>
        </w:rPr>
        <w:t xml:space="preserve"> as atividades exercidas, </w:t>
      </w:r>
      <w:r w:rsidR="00245745" w:rsidRPr="00CE08DC">
        <w:rPr>
          <w:rFonts w:ascii="Times New Roman" w:hAnsi="Times New Roman" w:cs="Times New Roman"/>
          <w:b/>
          <w:u w:val="single"/>
        </w:rPr>
        <w:t xml:space="preserve">o </w:t>
      </w:r>
      <w:r w:rsidRPr="00CE08DC">
        <w:rPr>
          <w:rFonts w:ascii="Times New Roman" w:hAnsi="Times New Roman" w:cs="Times New Roman"/>
          <w:b/>
          <w:u w:val="single"/>
        </w:rPr>
        <w:t>que implica em sucessão dos direitos e obrigações previamente existentes, nos exatos termos do art. 133 do CTN</w:t>
      </w:r>
      <w:r>
        <w:rPr>
          <w:rFonts w:ascii="Times New Roman" w:hAnsi="Times New Roman" w:cs="Times New Roman"/>
        </w:rPr>
        <w:t>, bem como, na manutenção de eventuais saldos credores, incluindo créditos decorrentes da aplicação do artigo 33 do § 7º da Lei nº 2.657/96;</w:t>
      </w:r>
    </w:p>
    <w:p w:rsidR="00507B2F" w:rsidRDefault="000A0A3E" w:rsidP="004D4212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 art. 16, do Livro I do RICMS/RJ positivou </w:t>
      </w:r>
      <w:r w:rsidR="00507B2F">
        <w:rPr>
          <w:rFonts w:ascii="Times New Roman" w:hAnsi="Times New Roman" w:cs="Times New Roman"/>
        </w:rPr>
        <w:t>o princípio da autonomia dos estabelecimentos,</w:t>
      </w:r>
      <w:r w:rsidR="00245745">
        <w:rPr>
          <w:rFonts w:ascii="Times New Roman" w:hAnsi="Times New Roman" w:cs="Times New Roman"/>
        </w:rPr>
        <w:t xml:space="preserve"> </w:t>
      </w:r>
      <w:r w:rsidR="00507B2F">
        <w:rPr>
          <w:rFonts w:ascii="Times New Roman" w:hAnsi="Times New Roman" w:cs="Times New Roman"/>
        </w:rPr>
        <w:t>segundo o qual os direitos e obrigações de natureza tributária estão diretamente atrelados ao estabelecimento, independentemente de sua titularidade;</w:t>
      </w:r>
    </w:p>
    <w:p w:rsidR="00507B2F" w:rsidRDefault="00507B2F" w:rsidP="004D4212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 w:rsidRPr="000A0A3E">
        <w:rPr>
          <w:rFonts w:ascii="Times New Roman" w:hAnsi="Times New Roman" w:cs="Times New Roman"/>
        </w:rPr>
        <w:t>c) a conferência do estabelecimento da CSN – Itaguaí ao capital da Congonhas resultou na transferência da titularidade do estabelecimento, sem implicar, com isso</w:t>
      </w:r>
      <w:r w:rsidR="00783FC6" w:rsidRPr="000A0A3E">
        <w:rPr>
          <w:rFonts w:ascii="Times New Roman" w:hAnsi="Times New Roman" w:cs="Times New Roman"/>
        </w:rPr>
        <w:t>, solução de continuidade de suas atividades.  E que todos os ativos e passivos relativos ao referido estabelecimento foram mantidos pela empresa sucessora, logo os créditos de ICMS existentes na escrituração fiscal devem ser mantidos;</w:t>
      </w:r>
    </w:p>
    <w:p w:rsidR="00783FC6" w:rsidRDefault="00245745" w:rsidP="004D4212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83FC6">
        <w:rPr>
          <w:rFonts w:ascii="Times New Roman" w:hAnsi="Times New Roman" w:cs="Times New Roman"/>
        </w:rPr>
        <w:t>a Resolução</w:t>
      </w:r>
      <w:r>
        <w:rPr>
          <w:rFonts w:ascii="Times New Roman" w:hAnsi="Times New Roman" w:cs="Times New Roman"/>
        </w:rPr>
        <w:t xml:space="preserve"> SEFAZ nº 720/</w:t>
      </w:r>
      <w:r w:rsidR="00783FC6">
        <w:rPr>
          <w:rFonts w:ascii="Times New Roman" w:hAnsi="Times New Roman" w:cs="Times New Roman"/>
        </w:rPr>
        <w:t xml:space="preserve">14, </w:t>
      </w:r>
      <w:r>
        <w:rPr>
          <w:rFonts w:ascii="Times New Roman" w:hAnsi="Times New Roman" w:cs="Times New Roman"/>
        </w:rPr>
        <w:t xml:space="preserve">por </w:t>
      </w:r>
      <w:r w:rsidR="00783FC6">
        <w:rPr>
          <w:rFonts w:ascii="Times New Roman" w:hAnsi="Times New Roman" w:cs="Times New Roman"/>
        </w:rPr>
        <w:t xml:space="preserve">não dispor de forma clara </w:t>
      </w:r>
      <w:r w:rsidR="00B04388">
        <w:rPr>
          <w:rFonts w:ascii="Times New Roman" w:hAnsi="Times New Roman" w:cs="Times New Roman"/>
        </w:rPr>
        <w:t xml:space="preserve">quanto </w:t>
      </w:r>
      <w:proofErr w:type="gramStart"/>
      <w:r w:rsidR="00783FC6">
        <w:rPr>
          <w:rFonts w:ascii="Times New Roman" w:hAnsi="Times New Roman" w:cs="Times New Roman"/>
        </w:rPr>
        <w:t>a</w:t>
      </w:r>
      <w:proofErr w:type="gramEnd"/>
      <w:r w:rsidR="00783FC6">
        <w:rPr>
          <w:rFonts w:ascii="Times New Roman" w:hAnsi="Times New Roman" w:cs="Times New Roman"/>
        </w:rPr>
        <w:t xml:space="preserve"> permissão da manutenção do crédito existente, está em desacordo com a própria legislação do Estado do Rio de Janeiro, </w:t>
      </w:r>
      <w:r>
        <w:rPr>
          <w:rFonts w:ascii="Times New Roman" w:hAnsi="Times New Roman" w:cs="Times New Roman"/>
        </w:rPr>
        <w:t>sendo</w:t>
      </w:r>
      <w:r w:rsidR="00783FC6">
        <w:rPr>
          <w:rFonts w:ascii="Times New Roman" w:hAnsi="Times New Roman" w:cs="Times New Roman"/>
        </w:rPr>
        <w:t xml:space="preserve"> mais restritiva que o próprio Regulamento do ICMS</w:t>
      </w:r>
      <w:r>
        <w:rPr>
          <w:rFonts w:ascii="Times New Roman" w:hAnsi="Times New Roman" w:cs="Times New Roman"/>
        </w:rPr>
        <w:t>,</w:t>
      </w:r>
      <w:r w:rsidR="00783FC6">
        <w:rPr>
          <w:rFonts w:ascii="Times New Roman" w:hAnsi="Times New Roman" w:cs="Times New Roman"/>
        </w:rPr>
        <w:t xml:space="preserve"> que prevê, em seu Livro VI, art. 43, a possibilidade de transferência dos livros fiscais no caso de aquisição de estabelecimento.</w:t>
      </w:r>
    </w:p>
    <w:p w:rsidR="00783FC6" w:rsidRDefault="00783FC6" w:rsidP="004D4212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872CED" w:rsidRDefault="00783FC6" w:rsidP="002A635B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Isto posto, a Consulente requer a confirmação pela </w:t>
      </w:r>
      <w:r w:rsidR="001C4751">
        <w:rPr>
          <w:rFonts w:ascii="Times New Roman" w:hAnsi="Times New Roman" w:cs="Times New Roman"/>
        </w:rPr>
        <w:t>Superintendência de Tributação</w:t>
      </w:r>
      <w:r>
        <w:rPr>
          <w:rFonts w:ascii="Times New Roman" w:hAnsi="Times New Roman" w:cs="Times New Roman"/>
        </w:rPr>
        <w:t xml:space="preserve"> </w:t>
      </w:r>
      <w:r w:rsidR="001C4751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proced</w:t>
      </w:r>
      <w:r w:rsidR="001C4751">
        <w:rPr>
          <w:rFonts w:ascii="Times New Roman" w:hAnsi="Times New Roman" w:cs="Times New Roman"/>
        </w:rPr>
        <w:t>ência de seu</w:t>
      </w:r>
      <w:r>
        <w:rPr>
          <w:rFonts w:ascii="Times New Roman" w:hAnsi="Times New Roman" w:cs="Times New Roman"/>
        </w:rPr>
        <w:t xml:space="preserve"> entendimento no sentido de que devem per</w:t>
      </w:r>
      <w:r w:rsidR="00233665">
        <w:rPr>
          <w:rFonts w:ascii="Times New Roman" w:hAnsi="Times New Roman" w:cs="Times New Roman"/>
        </w:rPr>
        <w:t xml:space="preserve">manecer passíveis de utilização, agora </w:t>
      </w:r>
      <w:proofErr w:type="gramStart"/>
      <w:r w:rsidR="00A73F56">
        <w:rPr>
          <w:rFonts w:ascii="Times New Roman" w:hAnsi="Times New Roman" w:cs="Times New Roman"/>
        </w:rPr>
        <w:t>“...</w:t>
      </w:r>
      <w:proofErr w:type="gramEnd"/>
      <w:r w:rsidR="00233665" w:rsidRPr="00C244E5">
        <w:rPr>
          <w:rFonts w:ascii="Times New Roman" w:hAnsi="Times New Roman" w:cs="Times New Roman"/>
          <w:i/>
        </w:rPr>
        <w:t>pelo estabelecimento</w:t>
      </w:r>
      <w:r w:rsidR="00A73F56" w:rsidRPr="00C244E5">
        <w:rPr>
          <w:rFonts w:ascii="Times New Roman" w:hAnsi="Times New Roman" w:cs="Times New Roman"/>
          <w:i/>
        </w:rPr>
        <w:t xml:space="preserve"> detido pela </w:t>
      </w:r>
      <w:r w:rsidR="00233665" w:rsidRPr="00C244E5">
        <w:rPr>
          <w:rFonts w:ascii="Times New Roman" w:hAnsi="Times New Roman" w:cs="Times New Roman"/>
          <w:i/>
        </w:rPr>
        <w:t>Congonhas Minérios, todos os créditos de ICMS</w:t>
      </w:r>
      <w:r w:rsidR="00A73F56" w:rsidRPr="00C244E5">
        <w:rPr>
          <w:rFonts w:ascii="Times New Roman" w:hAnsi="Times New Roman" w:cs="Times New Roman"/>
          <w:i/>
        </w:rPr>
        <w:t xml:space="preserve"> do estabelecimento previamente detido pela CSN, inclusive, os </w:t>
      </w:r>
      <w:r w:rsidR="00233665" w:rsidRPr="00C244E5">
        <w:rPr>
          <w:rFonts w:ascii="Times New Roman" w:hAnsi="Times New Roman" w:cs="Times New Roman"/>
          <w:i/>
        </w:rPr>
        <w:t xml:space="preserve">escriturados no </w:t>
      </w:r>
      <w:r w:rsidR="00A73F56" w:rsidRPr="00C244E5">
        <w:rPr>
          <w:rFonts w:ascii="Times New Roman" w:hAnsi="Times New Roman" w:cs="Times New Roman"/>
          <w:i/>
        </w:rPr>
        <w:t xml:space="preserve">livro registro de </w:t>
      </w:r>
      <w:r w:rsidR="002A635B" w:rsidRPr="00C244E5">
        <w:rPr>
          <w:rFonts w:ascii="Times New Roman" w:hAnsi="Times New Roman" w:cs="Times New Roman"/>
          <w:i/>
        </w:rPr>
        <w:t>c</w:t>
      </w:r>
      <w:r w:rsidR="00233665" w:rsidRPr="00C244E5">
        <w:rPr>
          <w:rFonts w:ascii="Times New Roman" w:hAnsi="Times New Roman" w:cs="Times New Roman"/>
          <w:i/>
        </w:rPr>
        <w:t xml:space="preserve">ontrole de </w:t>
      </w:r>
      <w:r w:rsidR="00A73F56" w:rsidRPr="00C244E5">
        <w:rPr>
          <w:rFonts w:ascii="Times New Roman" w:hAnsi="Times New Roman" w:cs="Times New Roman"/>
          <w:i/>
        </w:rPr>
        <w:t>c</w:t>
      </w:r>
      <w:r w:rsidR="00233665" w:rsidRPr="00C244E5">
        <w:rPr>
          <w:rFonts w:ascii="Times New Roman" w:hAnsi="Times New Roman" w:cs="Times New Roman"/>
          <w:i/>
        </w:rPr>
        <w:t xml:space="preserve">réditos de ICMS do </w:t>
      </w:r>
      <w:r w:rsidR="00A73F56" w:rsidRPr="00C244E5">
        <w:rPr>
          <w:rFonts w:ascii="Times New Roman" w:hAnsi="Times New Roman" w:cs="Times New Roman"/>
          <w:i/>
        </w:rPr>
        <w:t>a</w:t>
      </w:r>
      <w:r w:rsidR="00233665" w:rsidRPr="00C244E5">
        <w:rPr>
          <w:rFonts w:ascii="Times New Roman" w:hAnsi="Times New Roman" w:cs="Times New Roman"/>
          <w:i/>
        </w:rPr>
        <w:t xml:space="preserve">tivo </w:t>
      </w:r>
      <w:r w:rsidR="00A73F56" w:rsidRPr="00C244E5">
        <w:rPr>
          <w:rFonts w:ascii="Times New Roman" w:hAnsi="Times New Roman" w:cs="Times New Roman"/>
          <w:i/>
        </w:rPr>
        <w:t>p</w:t>
      </w:r>
      <w:r w:rsidR="00233665" w:rsidRPr="00C244E5">
        <w:rPr>
          <w:rFonts w:ascii="Times New Roman" w:hAnsi="Times New Roman" w:cs="Times New Roman"/>
          <w:i/>
        </w:rPr>
        <w:t>ermanente (CIAP) apurados anteriormente à operação societária descrita</w:t>
      </w:r>
      <w:r w:rsidR="00C244E5">
        <w:rPr>
          <w:rFonts w:ascii="Times New Roman" w:hAnsi="Times New Roman" w:cs="Times New Roman"/>
        </w:rPr>
        <w:t>”</w:t>
      </w:r>
      <w:r w:rsidR="00233665">
        <w:rPr>
          <w:rFonts w:ascii="Times New Roman" w:hAnsi="Times New Roman" w:cs="Times New Roman"/>
        </w:rPr>
        <w:t>.</w:t>
      </w:r>
    </w:p>
    <w:p w:rsidR="008E30A1" w:rsidRDefault="008E30A1" w:rsidP="002A635B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8E30A1" w:rsidRDefault="008E30A1" w:rsidP="008E30A1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 w:rsidRPr="000711A2">
        <w:rPr>
          <w:rFonts w:ascii="Times New Roman" w:hAnsi="Times New Roman" w:cs="Times New Roman"/>
        </w:rPr>
        <w:t>O processo encontra-se instruído com cópias reprográficas que comprovam a habilitação do signatário da petição inicial (fls.1</w:t>
      </w:r>
      <w:r w:rsidR="000711A2" w:rsidRPr="000711A2">
        <w:rPr>
          <w:rFonts w:ascii="Times New Roman" w:hAnsi="Times New Roman" w:cs="Times New Roman"/>
        </w:rPr>
        <w:t>2/13</w:t>
      </w:r>
      <w:r w:rsidRPr="000711A2">
        <w:rPr>
          <w:rFonts w:ascii="Times New Roman" w:hAnsi="Times New Roman" w:cs="Times New Roman"/>
        </w:rPr>
        <w:t xml:space="preserve">), bem como com DARJ referente ao recolhimento da taxa de serviços Estaduais (fls. </w:t>
      </w:r>
      <w:r w:rsidR="000711A2" w:rsidRPr="000711A2">
        <w:rPr>
          <w:rFonts w:ascii="Times New Roman" w:hAnsi="Times New Roman" w:cs="Times New Roman"/>
        </w:rPr>
        <w:t>14/23</w:t>
      </w:r>
      <w:r w:rsidRPr="000711A2">
        <w:rPr>
          <w:rFonts w:ascii="Times New Roman" w:hAnsi="Times New Roman" w:cs="Times New Roman"/>
        </w:rPr>
        <w:t>).</w:t>
      </w:r>
      <w:r w:rsidRPr="00CB38E5">
        <w:rPr>
          <w:rFonts w:ascii="Times New Roman" w:hAnsi="Times New Roman" w:cs="Times New Roman"/>
        </w:rPr>
        <w:t xml:space="preserve"> </w:t>
      </w:r>
    </w:p>
    <w:p w:rsidR="005C7703" w:rsidRDefault="005C7703" w:rsidP="002A635B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5C7703" w:rsidRPr="006F06F0" w:rsidRDefault="005C7703" w:rsidP="005C7703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5C7703" w:rsidRDefault="005C7703" w:rsidP="002A635B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A73F56" w:rsidRDefault="00A73F56" w:rsidP="00A73F5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 w:rsidRPr="00386952">
        <w:rPr>
          <w:rFonts w:ascii="Times New Roman" w:hAnsi="Times New Roman" w:cs="Times New Roman"/>
        </w:rPr>
        <w:t xml:space="preserve">Preliminarmente, </w:t>
      </w:r>
      <w:r>
        <w:rPr>
          <w:rFonts w:ascii="Times New Roman" w:hAnsi="Times New Roman" w:cs="Times New Roman"/>
        </w:rPr>
        <w:t xml:space="preserve">esclarecemos </w:t>
      </w:r>
      <w:r w:rsidRPr="00386952">
        <w:rPr>
          <w:rFonts w:ascii="Times New Roman" w:hAnsi="Times New Roman" w:cs="Times New Roman"/>
        </w:rPr>
        <w:t>que o objetivo das soluções de consulta</w:t>
      </w:r>
      <w:r w:rsidR="00986450">
        <w:rPr>
          <w:rFonts w:ascii="Times New Roman" w:hAnsi="Times New Roman" w:cs="Times New Roman"/>
        </w:rPr>
        <w:t xml:space="preserve"> tributária</w:t>
      </w:r>
      <w:r w:rsidRPr="00386952">
        <w:rPr>
          <w:rFonts w:ascii="Times New Roman" w:hAnsi="Times New Roman" w:cs="Times New Roman"/>
        </w:rPr>
        <w:t xml:space="preserve"> é esclarecer questões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objetivas formuladas pelos consulentes acerca da interpretação de dispositivos específicos da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legislação tributária</w:t>
      </w:r>
      <w:r w:rsidR="00986450">
        <w:rPr>
          <w:rFonts w:ascii="Times New Roman" w:hAnsi="Times New Roman" w:cs="Times New Roman"/>
        </w:rPr>
        <w:t xml:space="preserve"> </w:t>
      </w:r>
      <w:r w:rsidR="00986450" w:rsidRPr="00386952">
        <w:rPr>
          <w:rFonts w:ascii="Times New Roman" w:hAnsi="Times New Roman" w:cs="Times New Roman"/>
        </w:rPr>
        <w:t xml:space="preserve">no âmbito da </w:t>
      </w:r>
      <w:r w:rsidR="00986450">
        <w:rPr>
          <w:rFonts w:ascii="Times New Roman" w:hAnsi="Times New Roman" w:cs="Times New Roman"/>
        </w:rPr>
        <w:t>Secretaria de Fazenda do Estado do Rio de Janeiro</w:t>
      </w:r>
      <w:r>
        <w:rPr>
          <w:rFonts w:ascii="Times New Roman" w:hAnsi="Times New Roman" w:cs="Times New Roman"/>
        </w:rPr>
        <w:t xml:space="preserve">, presumindo-se </w:t>
      </w:r>
      <w:r w:rsidRPr="00386952">
        <w:rPr>
          <w:rFonts w:ascii="Times New Roman" w:hAnsi="Times New Roman" w:cs="Times New Roman"/>
        </w:rPr>
        <w:t>corret</w:t>
      </w:r>
      <w:r w:rsidR="00D82E9B">
        <w:rPr>
          <w:rFonts w:ascii="Times New Roman" w:hAnsi="Times New Roman" w:cs="Times New Roman"/>
        </w:rPr>
        <w:t>a</w:t>
      </w:r>
      <w:r w:rsidRPr="00386952">
        <w:rPr>
          <w:rFonts w:ascii="Times New Roman" w:hAnsi="Times New Roman" w:cs="Times New Roman"/>
        </w:rPr>
        <w:t xml:space="preserve">s </w:t>
      </w:r>
      <w:r w:rsidR="00D82E9B">
        <w:rPr>
          <w:rFonts w:ascii="Times New Roman" w:hAnsi="Times New Roman" w:cs="Times New Roman"/>
        </w:rPr>
        <w:t>as</w:t>
      </w:r>
      <w:r w:rsidRPr="00386952">
        <w:rPr>
          <w:rFonts w:ascii="Times New Roman" w:hAnsi="Times New Roman" w:cs="Times New Roman"/>
        </w:rPr>
        <w:t xml:space="preserve"> </w:t>
      </w:r>
      <w:r w:rsidR="00D82E9B">
        <w:rPr>
          <w:rFonts w:ascii="Times New Roman" w:hAnsi="Times New Roman" w:cs="Times New Roman"/>
        </w:rPr>
        <w:t>informações</w:t>
      </w:r>
      <w:r w:rsidRPr="00386952">
        <w:rPr>
          <w:rFonts w:ascii="Times New Roman" w:hAnsi="Times New Roman" w:cs="Times New Roman"/>
        </w:rPr>
        <w:t xml:space="preserve"> apresentad</w:t>
      </w:r>
      <w:r w:rsidR="00D82E9B">
        <w:rPr>
          <w:rFonts w:ascii="Times New Roman" w:hAnsi="Times New Roman" w:cs="Times New Roman"/>
        </w:rPr>
        <w:t>a</w:t>
      </w:r>
      <w:r w:rsidRPr="00386952">
        <w:rPr>
          <w:rFonts w:ascii="Times New Roman" w:hAnsi="Times New Roman" w:cs="Times New Roman"/>
        </w:rPr>
        <w:t>s pelos consulentes, sem questionar sua exatidão</w:t>
      </w:r>
      <w:r>
        <w:rPr>
          <w:rFonts w:ascii="Times New Roman" w:hAnsi="Times New Roman" w:cs="Times New Roman"/>
        </w:rPr>
        <w:t>.  A</w:t>
      </w:r>
      <w:r w:rsidRPr="00386952">
        <w:rPr>
          <w:rFonts w:ascii="Times New Roman" w:hAnsi="Times New Roman" w:cs="Times New Roman"/>
        </w:rPr>
        <w:t>s soluções de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consulta não convalidam informações, interpretações, ações ou omissões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aduzidas na consulta.</w:t>
      </w:r>
    </w:p>
    <w:p w:rsidR="00A73F56" w:rsidRPr="00386952" w:rsidRDefault="00A73F56" w:rsidP="00A73F5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BD7101" w:rsidRDefault="00AE7704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Inicialmente, é importante ressaltar que a</w:t>
      </w:r>
      <w:r w:rsidR="00BD7101">
        <w:rPr>
          <w:rFonts w:ascii="Times New Roman" w:hAnsi="Times New Roman" w:cs="Times New Roman"/>
        </w:rPr>
        <w:t xml:space="preserve"> </w:t>
      </w:r>
      <w:r w:rsidR="002E46D5">
        <w:rPr>
          <w:rFonts w:ascii="Times New Roman" w:hAnsi="Times New Roman" w:cs="Times New Roman"/>
        </w:rPr>
        <w:t>narraçã</w:t>
      </w:r>
      <w:r w:rsidR="00BD7101">
        <w:rPr>
          <w:rFonts w:ascii="Times New Roman" w:hAnsi="Times New Roman" w:cs="Times New Roman"/>
        </w:rPr>
        <w:t xml:space="preserve">o dos fatos é confusa, não deixando clara a operação societária efetivamente </w:t>
      </w:r>
      <w:r w:rsidR="002E46D5">
        <w:rPr>
          <w:rFonts w:ascii="Times New Roman" w:hAnsi="Times New Roman" w:cs="Times New Roman"/>
        </w:rPr>
        <w:t>ocorrida</w:t>
      </w:r>
      <w:r w:rsidR="00BD7101">
        <w:rPr>
          <w:rFonts w:ascii="Times New Roman" w:hAnsi="Times New Roman" w:cs="Times New Roman"/>
        </w:rPr>
        <w:t xml:space="preserve">.  </w:t>
      </w:r>
      <w:r w:rsidR="002E46D5">
        <w:rPr>
          <w:rFonts w:ascii="Times New Roman" w:hAnsi="Times New Roman" w:cs="Times New Roman"/>
        </w:rPr>
        <w:t>A consulente o</w:t>
      </w:r>
      <w:r w:rsidR="00BD7101">
        <w:rPr>
          <w:rFonts w:ascii="Times New Roman" w:hAnsi="Times New Roman" w:cs="Times New Roman"/>
        </w:rPr>
        <w:t>ra relata que a empresa foi criada pela CSN</w:t>
      </w:r>
      <w:r w:rsidR="000046C0">
        <w:rPr>
          <w:rFonts w:ascii="Times New Roman" w:hAnsi="Times New Roman" w:cs="Times New Roman"/>
        </w:rPr>
        <w:t>,</w:t>
      </w:r>
      <w:r w:rsidR="0086396B">
        <w:rPr>
          <w:rFonts w:ascii="Times New Roman" w:hAnsi="Times New Roman" w:cs="Times New Roman"/>
        </w:rPr>
        <w:t xml:space="preserve"> ora afirma </w:t>
      </w:r>
      <w:r w:rsidR="00BD7101">
        <w:rPr>
          <w:rFonts w:ascii="Times New Roman" w:hAnsi="Times New Roman" w:cs="Times New Roman"/>
        </w:rPr>
        <w:t>que as atividades exercidas pe</w:t>
      </w:r>
      <w:r w:rsidR="0086396B">
        <w:rPr>
          <w:rFonts w:ascii="Times New Roman" w:hAnsi="Times New Roman" w:cs="Times New Roman"/>
        </w:rPr>
        <w:t>la CSN foram incorporadas pela Congonhas</w:t>
      </w:r>
      <w:r w:rsidR="00BD7101">
        <w:rPr>
          <w:rFonts w:ascii="Times New Roman" w:hAnsi="Times New Roman" w:cs="Times New Roman"/>
        </w:rPr>
        <w:t xml:space="preserve"> e</w:t>
      </w:r>
      <w:r w:rsidR="0086396B">
        <w:rPr>
          <w:rFonts w:ascii="Times New Roman" w:hAnsi="Times New Roman" w:cs="Times New Roman"/>
        </w:rPr>
        <w:t xml:space="preserve"> mais adiante </w:t>
      </w:r>
      <w:r w:rsidR="00A96E2D">
        <w:rPr>
          <w:rFonts w:ascii="Times New Roman" w:hAnsi="Times New Roman" w:cs="Times New Roman"/>
        </w:rPr>
        <w:t xml:space="preserve">afirma ter adquirido o estabelecimento.  </w:t>
      </w:r>
      <w:r w:rsidR="000046C0">
        <w:rPr>
          <w:rFonts w:ascii="Times New Roman" w:hAnsi="Times New Roman" w:cs="Times New Roman"/>
        </w:rPr>
        <w:t>Declara</w:t>
      </w:r>
      <w:r w:rsidR="00A96E2D">
        <w:rPr>
          <w:rFonts w:ascii="Times New Roman" w:hAnsi="Times New Roman" w:cs="Times New Roman"/>
        </w:rPr>
        <w:t xml:space="preserve"> também</w:t>
      </w:r>
      <w:r w:rsidR="0086396B">
        <w:rPr>
          <w:rFonts w:ascii="Times New Roman" w:hAnsi="Times New Roman" w:cs="Times New Roman"/>
        </w:rPr>
        <w:t xml:space="preserve"> </w:t>
      </w:r>
      <w:r w:rsidR="00BD7101">
        <w:rPr>
          <w:rFonts w:ascii="Times New Roman" w:hAnsi="Times New Roman" w:cs="Times New Roman"/>
        </w:rPr>
        <w:t>que</w:t>
      </w:r>
      <w:r w:rsidR="0086396B">
        <w:rPr>
          <w:rFonts w:ascii="Times New Roman" w:hAnsi="Times New Roman" w:cs="Times New Roman"/>
        </w:rPr>
        <w:t xml:space="preserve"> o ocorrido se restringe a mudança da indicação </w:t>
      </w:r>
      <w:r w:rsidR="00BD7101" w:rsidRPr="00BB3420">
        <w:rPr>
          <w:rFonts w:ascii="Times New Roman" w:hAnsi="Times New Roman" w:cs="Times New Roman"/>
        </w:rPr>
        <w:t>da sociedade detentora dos ativos</w:t>
      </w:r>
      <w:r w:rsidR="00BD7101">
        <w:rPr>
          <w:rFonts w:ascii="Times New Roman" w:hAnsi="Times New Roman" w:cs="Times New Roman"/>
        </w:rPr>
        <w:t xml:space="preserve">, que </w:t>
      </w:r>
      <w:r w:rsidR="00546250">
        <w:rPr>
          <w:rFonts w:ascii="Times New Roman" w:hAnsi="Times New Roman" w:cs="Times New Roman"/>
        </w:rPr>
        <w:t>não mais pertencem à</w:t>
      </w:r>
      <w:r w:rsidR="00BD7101">
        <w:rPr>
          <w:rFonts w:ascii="Times New Roman" w:hAnsi="Times New Roman" w:cs="Times New Roman"/>
        </w:rPr>
        <w:t xml:space="preserve"> Companhia Siderúrgica Nacional </w:t>
      </w:r>
      <w:r w:rsidR="00546250">
        <w:rPr>
          <w:rFonts w:ascii="Times New Roman" w:hAnsi="Times New Roman" w:cs="Times New Roman"/>
        </w:rPr>
        <w:t xml:space="preserve">sendo atualmente </w:t>
      </w:r>
      <w:r w:rsidR="00BD7101">
        <w:rPr>
          <w:rFonts w:ascii="Times New Roman" w:hAnsi="Times New Roman" w:cs="Times New Roman"/>
        </w:rPr>
        <w:t>propriedade da Congonhas Minérios S.A.</w:t>
      </w:r>
    </w:p>
    <w:p w:rsidR="00A947E0" w:rsidRDefault="00A947E0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AE7704" w:rsidRDefault="000046C0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não cabe a esta Superintendência verificar a exatidão das afirmações do contribuinte e tampouco confirmar a ocorrência dos fatos narrados, mas tão somente responder em tese as dúvidas apresentadas, </w:t>
      </w:r>
      <w:proofErr w:type="gramStart"/>
      <w:r w:rsidR="001203A0">
        <w:rPr>
          <w:rFonts w:ascii="Times New Roman" w:hAnsi="Times New Roman" w:cs="Times New Roman"/>
        </w:rPr>
        <w:t>passamos</w:t>
      </w:r>
      <w:proofErr w:type="gramEnd"/>
      <w:r w:rsidR="001203A0">
        <w:rPr>
          <w:rFonts w:ascii="Times New Roman" w:hAnsi="Times New Roman" w:cs="Times New Roman"/>
        </w:rPr>
        <w:t xml:space="preserve"> a analisar a legislação que trata da responsabilidade tributária por sucessão.</w:t>
      </w:r>
    </w:p>
    <w:p w:rsidR="00AE7704" w:rsidRDefault="00AE7704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B92C65" w:rsidRDefault="00B92C65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Capítulo V do CTN dispõe sobre a responsabilidade tributária e em sua Seção II, trata da responsabilidade dos sucessores, destacando-se no presente caso a redação dos artigos 132 e 133:</w:t>
      </w:r>
    </w:p>
    <w:p w:rsidR="00AE7704" w:rsidRDefault="00AE7704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AE7704" w:rsidRPr="00B92C65" w:rsidRDefault="00AE7704" w:rsidP="00B92C65">
      <w:pPr>
        <w:spacing w:after="0" w:line="360" w:lineRule="auto"/>
        <w:ind w:left="2268" w:right="-85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B92C65">
        <w:rPr>
          <w:rFonts w:ascii="Times New Roman" w:hAnsi="Times New Roman" w:cs="Times New Roman"/>
          <w:sz w:val="20"/>
          <w:szCs w:val="20"/>
        </w:rPr>
        <w:t>“</w:t>
      </w:r>
      <w:r w:rsidRPr="000046C0">
        <w:rPr>
          <w:rFonts w:ascii="Times New Roman" w:hAnsi="Times New Roman" w:cs="Times New Roman"/>
          <w:b/>
          <w:sz w:val="20"/>
          <w:szCs w:val="20"/>
        </w:rPr>
        <w:t>Art. 132</w:t>
      </w:r>
      <w:r w:rsidRPr="00B92C6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92C65">
        <w:rPr>
          <w:rFonts w:ascii="Times New Roman" w:hAnsi="Times New Roman" w:cs="Times New Roman"/>
          <w:sz w:val="20"/>
          <w:szCs w:val="20"/>
        </w:rPr>
        <w:t xml:space="preserve"> </w:t>
      </w:r>
      <w:r w:rsidRPr="00B92C65">
        <w:rPr>
          <w:rFonts w:ascii="Times New Roman" w:hAnsi="Times New Roman" w:cs="Times New Roman"/>
          <w:sz w:val="20"/>
          <w:szCs w:val="20"/>
          <w:u w:val="single"/>
        </w:rPr>
        <w:t xml:space="preserve">A pessoa jurídica de direito privado que resultar de </w:t>
      </w:r>
      <w:r w:rsidRPr="00B92C65">
        <w:rPr>
          <w:rFonts w:ascii="Times New Roman" w:hAnsi="Times New Roman" w:cs="Times New Roman"/>
          <w:b/>
          <w:sz w:val="20"/>
          <w:szCs w:val="20"/>
          <w:u w:val="single"/>
        </w:rPr>
        <w:t>fusão, transformação ou incorporação</w:t>
      </w:r>
      <w:r w:rsidRPr="00B92C65">
        <w:rPr>
          <w:rFonts w:ascii="Times New Roman" w:hAnsi="Times New Roman" w:cs="Times New Roman"/>
          <w:sz w:val="20"/>
          <w:szCs w:val="20"/>
          <w:u w:val="single"/>
        </w:rPr>
        <w:t xml:space="preserve"> de outra ou em outra é responsável pelos tributos devidos até à data do ato pelas pessoas jurídicas de direito privado fusionadas, transformadas ou incorporadas.</w:t>
      </w:r>
    </w:p>
    <w:p w:rsidR="00AE7704" w:rsidRPr="00B92C65" w:rsidRDefault="00AE7704" w:rsidP="00B92C65">
      <w:pPr>
        <w:spacing w:after="0" w:line="360" w:lineRule="auto"/>
        <w:ind w:left="2268" w:right="-852"/>
        <w:jc w:val="both"/>
        <w:rPr>
          <w:rFonts w:ascii="Times New Roman" w:hAnsi="Times New Roman" w:cs="Times New Roman"/>
          <w:sz w:val="20"/>
          <w:szCs w:val="20"/>
        </w:rPr>
      </w:pPr>
      <w:r w:rsidRPr="00B92C65">
        <w:rPr>
          <w:rFonts w:ascii="Times New Roman" w:hAnsi="Times New Roman" w:cs="Times New Roman"/>
          <w:sz w:val="20"/>
          <w:szCs w:val="20"/>
        </w:rPr>
        <w:t xml:space="preserve">Parágrafo único. O disposto neste artigo aplica-se aos casos de extinção de pessoas jurídicas de direito privado, quando a exploração da respectiva atividade seja continuada por qualquer sócio remanescente, ou seu espólio, sob a mesma ou outra razão social, ou </w:t>
      </w:r>
      <w:proofErr w:type="gramStart"/>
      <w:r w:rsidRPr="00B92C65">
        <w:rPr>
          <w:rFonts w:ascii="Times New Roman" w:hAnsi="Times New Roman" w:cs="Times New Roman"/>
          <w:sz w:val="20"/>
          <w:szCs w:val="20"/>
        </w:rPr>
        <w:t>sob firma</w:t>
      </w:r>
      <w:proofErr w:type="gramEnd"/>
      <w:r w:rsidRPr="00B92C65">
        <w:rPr>
          <w:rFonts w:ascii="Times New Roman" w:hAnsi="Times New Roman" w:cs="Times New Roman"/>
          <w:sz w:val="20"/>
          <w:szCs w:val="20"/>
        </w:rPr>
        <w:t xml:space="preserve"> individual.</w:t>
      </w:r>
    </w:p>
    <w:p w:rsidR="00AE7704" w:rsidRPr="00B92C65" w:rsidRDefault="00AE7704" w:rsidP="00B92C65">
      <w:pPr>
        <w:spacing w:after="0" w:line="360" w:lineRule="auto"/>
        <w:ind w:left="2268" w:right="-85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7704" w:rsidRPr="00B92C65" w:rsidRDefault="00AE7704" w:rsidP="00B92C65">
      <w:pPr>
        <w:spacing w:after="0" w:line="360" w:lineRule="auto"/>
        <w:ind w:left="2268" w:right="-852"/>
        <w:jc w:val="both"/>
        <w:rPr>
          <w:rFonts w:ascii="Times New Roman" w:hAnsi="Times New Roman" w:cs="Times New Roman"/>
          <w:sz w:val="20"/>
          <w:szCs w:val="20"/>
        </w:rPr>
      </w:pPr>
      <w:r w:rsidRPr="000046C0">
        <w:rPr>
          <w:rFonts w:ascii="Times New Roman" w:hAnsi="Times New Roman" w:cs="Times New Roman"/>
          <w:b/>
          <w:sz w:val="20"/>
          <w:szCs w:val="20"/>
        </w:rPr>
        <w:t>Art. 133</w:t>
      </w:r>
      <w:r w:rsidRPr="00B92C65">
        <w:rPr>
          <w:rFonts w:ascii="Times New Roman" w:hAnsi="Times New Roman" w:cs="Times New Roman"/>
          <w:sz w:val="20"/>
          <w:szCs w:val="20"/>
        </w:rPr>
        <w:t xml:space="preserve">. </w:t>
      </w:r>
      <w:r w:rsidRPr="00B92C65">
        <w:rPr>
          <w:rFonts w:ascii="Times New Roman" w:hAnsi="Times New Roman" w:cs="Times New Roman"/>
          <w:sz w:val="20"/>
          <w:szCs w:val="20"/>
          <w:u w:val="single"/>
        </w:rPr>
        <w:t xml:space="preserve">A pessoa natural ou jurídica de direito privado que </w:t>
      </w:r>
      <w:r w:rsidRPr="00B92C65">
        <w:rPr>
          <w:rFonts w:ascii="Times New Roman" w:hAnsi="Times New Roman" w:cs="Times New Roman"/>
          <w:b/>
          <w:sz w:val="20"/>
          <w:szCs w:val="20"/>
          <w:u w:val="single"/>
        </w:rPr>
        <w:t>adquirir</w:t>
      </w:r>
      <w:r w:rsidRPr="00B92C65">
        <w:rPr>
          <w:rFonts w:ascii="Times New Roman" w:hAnsi="Times New Roman" w:cs="Times New Roman"/>
          <w:sz w:val="20"/>
          <w:szCs w:val="20"/>
          <w:u w:val="single"/>
        </w:rPr>
        <w:t xml:space="preserve"> de outra, por qualquer título, </w:t>
      </w:r>
      <w:r w:rsidRPr="00B92C65">
        <w:rPr>
          <w:rFonts w:ascii="Times New Roman" w:hAnsi="Times New Roman" w:cs="Times New Roman"/>
          <w:b/>
          <w:sz w:val="20"/>
          <w:szCs w:val="20"/>
          <w:u w:val="single"/>
        </w:rPr>
        <w:t>fundo de comércio ou estabelecimento comercial, industrial ou profissional</w:t>
      </w:r>
      <w:r w:rsidRPr="00B92C65">
        <w:rPr>
          <w:rFonts w:ascii="Times New Roman" w:hAnsi="Times New Roman" w:cs="Times New Roman"/>
          <w:sz w:val="20"/>
          <w:szCs w:val="20"/>
        </w:rPr>
        <w:t xml:space="preserve">, e continuar a respectiva exploração, sob a mesma ou outra razão social ou </w:t>
      </w:r>
      <w:proofErr w:type="gramStart"/>
      <w:r w:rsidRPr="00B92C65">
        <w:rPr>
          <w:rFonts w:ascii="Times New Roman" w:hAnsi="Times New Roman" w:cs="Times New Roman"/>
          <w:sz w:val="20"/>
          <w:szCs w:val="20"/>
        </w:rPr>
        <w:t>sob firma</w:t>
      </w:r>
      <w:proofErr w:type="gramEnd"/>
      <w:r w:rsidRPr="00B92C65">
        <w:rPr>
          <w:rFonts w:ascii="Times New Roman" w:hAnsi="Times New Roman" w:cs="Times New Roman"/>
          <w:sz w:val="20"/>
          <w:szCs w:val="20"/>
        </w:rPr>
        <w:t xml:space="preserve"> ou nome individual, </w:t>
      </w:r>
      <w:r w:rsidRPr="00B92C65">
        <w:rPr>
          <w:rFonts w:ascii="Times New Roman" w:hAnsi="Times New Roman" w:cs="Times New Roman"/>
          <w:sz w:val="20"/>
          <w:szCs w:val="20"/>
          <w:u w:val="single"/>
        </w:rPr>
        <w:t>responde pelos tributos, relativos ao fundo ou estabelecimento adquirido</w:t>
      </w:r>
      <w:r w:rsidRPr="00B92C65">
        <w:rPr>
          <w:rFonts w:ascii="Times New Roman" w:hAnsi="Times New Roman" w:cs="Times New Roman"/>
          <w:sz w:val="20"/>
          <w:szCs w:val="20"/>
        </w:rPr>
        <w:t>, devidos até à data do ato:</w:t>
      </w:r>
    </w:p>
    <w:p w:rsidR="00AE7704" w:rsidRPr="00B92C65" w:rsidRDefault="00AE7704" w:rsidP="00B92C65">
      <w:pPr>
        <w:spacing w:after="0" w:line="360" w:lineRule="auto"/>
        <w:ind w:left="2268" w:right="-852"/>
        <w:jc w:val="both"/>
        <w:rPr>
          <w:rFonts w:ascii="Times New Roman" w:hAnsi="Times New Roman" w:cs="Times New Roman"/>
          <w:sz w:val="20"/>
          <w:szCs w:val="20"/>
        </w:rPr>
      </w:pPr>
      <w:r w:rsidRPr="00B92C65">
        <w:rPr>
          <w:rFonts w:ascii="Times New Roman" w:hAnsi="Times New Roman" w:cs="Times New Roman"/>
          <w:sz w:val="20"/>
          <w:szCs w:val="20"/>
        </w:rPr>
        <w:t>I - integralmente, se o alienante cessar a exploração do comércio, indústria ou atividade;</w:t>
      </w:r>
    </w:p>
    <w:p w:rsidR="00AE7704" w:rsidRPr="00B92C65" w:rsidRDefault="00AE7704" w:rsidP="00B92C65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2C65">
        <w:rPr>
          <w:rFonts w:ascii="Times New Roman" w:hAnsi="Times New Roman" w:cs="Times New Roman"/>
          <w:sz w:val="20"/>
          <w:szCs w:val="20"/>
        </w:rPr>
        <w:t>II - subsidiariamente com o alienante, se este prosseguir na exploração ou iniciar dentro de seis meses a contar da data da alienação, nova atividade no mesmo ou em outro ramo de comércio, indústria ou profissão.”</w:t>
      </w:r>
      <w:proofErr w:type="gramEnd"/>
      <w:r w:rsidR="00B92C65">
        <w:rPr>
          <w:rFonts w:ascii="Times New Roman" w:hAnsi="Times New Roman" w:cs="Times New Roman"/>
          <w:sz w:val="20"/>
          <w:szCs w:val="20"/>
        </w:rPr>
        <w:t xml:space="preserve"> (grifos nossos)</w:t>
      </w:r>
    </w:p>
    <w:p w:rsidR="00AE7704" w:rsidRPr="00AE7704" w:rsidRDefault="00AE7704" w:rsidP="00AE7704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9F2094" w:rsidRDefault="009F2094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artigo 132 do CTN diz respeito à sucessão societária nas hipóteses de fusão, cisão e incorporação, reorganizações societárias com disciplina e procedimento específicos na Lei das Sociedades Anônimas, Lei nº 6.404, de 15 de dezembro de 1976, Capítulo XVIII, artigos 223 a 234 e no Código Civil, Capítulo X, artigos 1113 a 1122.</w:t>
      </w:r>
      <w:r w:rsidR="000046C0">
        <w:rPr>
          <w:rFonts w:ascii="Times New Roman" w:hAnsi="Times New Roman" w:cs="Times New Roman"/>
        </w:rPr>
        <w:t xml:space="preserve">  Não havendo dúvidas nessas situações quanto à responsabilidade do sucessor, tanto no que se refere aos bens e direitos quanto às obrigações.</w:t>
      </w:r>
    </w:p>
    <w:p w:rsidR="0059185E" w:rsidRDefault="0059185E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59185E" w:rsidRDefault="0059185E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o artigo 133 do CTN, diz respeito à sucessão empresarial ou trespasse</w:t>
      </w:r>
      <w:r w:rsidR="00DF4E9C">
        <w:rPr>
          <w:rFonts w:ascii="Times New Roman" w:hAnsi="Times New Roman" w:cs="Times New Roman"/>
        </w:rPr>
        <w:t xml:space="preserve">.  Nesse </w:t>
      </w:r>
      <w:r w:rsidR="000046C0">
        <w:rPr>
          <w:rFonts w:ascii="Times New Roman" w:hAnsi="Times New Roman" w:cs="Times New Roman"/>
        </w:rPr>
        <w:t>caso</w:t>
      </w:r>
      <w:r w:rsidR="00DF4E9C">
        <w:rPr>
          <w:rFonts w:ascii="Times New Roman" w:hAnsi="Times New Roman" w:cs="Times New Roman"/>
        </w:rPr>
        <w:t xml:space="preserve">, ocorrendo </w:t>
      </w:r>
      <w:proofErr w:type="gramStart"/>
      <w:r w:rsidR="00DF4E9C">
        <w:rPr>
          <w:rFonts w:ascii="Times New Roman" w:hAnsi="Times New Roman" w:cs="Times New Roman"/>
        </w:rPr>
        <w:t>a</w:t>
      </w:r>
      <w:proofErr w:type="gramEnd"/>
      <w:r w:rsidR="00DF4E9C">
        <w:rPr>
          <w:rFonts w:ascii="Times New Roman" w:hAnsi="Times New Roman" w:cs="Times New Roman"/>
        </w:rPr>
        <w:t xml:space="preserve"> aquisição do estabelecimento, aqui entendido como uma universalidade de bens, direitos e obrigações, o adquirente responderá pelos tributos devidos pelo estabelecimento adquirido</w:t>
      </w:r>
      <w:r w:rsidR="002B5885">
        <w:rPr>
          <w:rFonts w:ascii="Times New Roman" w:hAnsi="Times New Roman" w:cs="Times New Roman"/>
        </w:rPr>
        <w:t>,</w:t>
      </w:r>
      <w:r w:rsidR="00DF4E9C">
        <w:rPr>
          <w:rFonts w:ascii="Times New Roman" w:hAnsi="Times New Roman" w:cs="Times New Roman"/>
        </w:rPr>
        <w:t xml:space="preserve"> integralmente ou subsidiariamente, conforme cesse ou prossiga na exploração </w:t>
      </w:r>
      <w:r w:rsidR="005D0D17">
        <w:rPr>
          <w:rFonts w:ascii="Times New Roman" w:hAnsi="Times New Roman" w:cs="Times New Roman"/>
        </w:rPr>
        <w:t>da atividade.</w:t>
      </w:r>
    </w:p>
    <w:p w:rsidR="002B5885" w:rsidRDefault="002B5885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5D0D17" w:rsidRDefault="0018764E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Para melhor compreensão do dispositivo supramencionado transcrevemos lição de Amaro (2014, p. 350)</w:t>
      </w:r>
      <w:r w:rsidR="00A96E2D">
        <w:rPr>
          <w:rFonts w:ascii="Times New Roman" w:hAnsi="Times New Roman" w:cs="Times New Roman"/>
        </w:rPr>
        <w:t>:</w:t>
      </w:r>
    </w:p>
    <w:p w:rsidR="005D0D17" w:rsidRPr="004825AF" w:rsidRDefault="0018764E" w:rsidP="004825AF">
      <w:pPr>
        <w:spacing w:after="0" w:line="360" w:lineRule="auto"/>
        <w:ind w:left="2268" w:righ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25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0D17" w:rsidRPr="004825AF">
        <w:rPr>
          <w:rFonts w:ascii="Times New Roman" w:hAnsi="Times New Roman" w:cs="Times New Roman"/>
          <w:sz w:val="20"/>
          <w:szCs w:val="20"/>
        </w:rPr>
        <w:t>“O adquirente (sociedade ou firma individual) responde, pois, pelos tributos relativos ao estabelecimento adquirido</w:t>
      </w:r>
      <w:r w:rsidR="00DE4DCC" w:rsidRPr="004825AF">
        <w:rPr>
          <w:rFonts w:ascii="Times New Roman" w:hAnsi="Times New Roman" w:cs="Times New Roman"/>
          <w:sz w:val="20"/>
          <w:szCs w:val="20"/>
        </w:rPr>
        <w:t>, se o alienante cessar a exploração da atividade que vinha executando e não passar a explorar outra atividade.</w:t>
      </w:r>
      <w:proofErr w:type="gramEnd"/>
      <w:r w:rsidR="00DE4DCC" w:rsidRPr="004825AF">
        <w:rPr>
          <w:rFonts w:ascii="Times New Roman" w:hAnsi="Times New Roman" w:cs="Times New Roman"/>
          <w:sz w:val="20"/>
          <w:szCs w:val="20"/>
        </w:rPr>
        <w:t xml:space="preserve"> Na hipótese, afirma o Código que a responsabilidade do adquirente é </w:t>
      </w:r>
      <w:r w:rsidR="00DE4DCC" w:rsidRPr="004825AF">
        <w:rPr>
          <w:rFonts w:ascii="Times New Roman" w:hAnsi="Times New Roman" w:cs="Times New Roman"/>
          <w:i/>
          <w:sz w:val="20"/>
          <w:szCs w:val="20"/>
        </w:rPr>
        <w:t>integral</w:t>
      </w:r>
      <w:r w:rsidR="00DE4DCC" w:rsidRPr="004825AF">
        <w:rPr>
          <w:rFonts w:ascii="Times New Roman" w:hAnsi="Times New Roman" w:cs="Times New Roman"/>
          <w:sz w:val="20"/>
          <w:szCs w:val="20"/>
        </w:rPr>
        <w:t xml:space="preserve">. O que, na verdade, o Código quis dizer é que, nesse caso, o adquirente responde </w:t>
      </w:r>
      <w:r w:rsidR="00DE4DCC" w:rsidRPr="004825AF">
        <w:rPr>
          <w:rFonts w:ascii="Times New Roman" w:hAnsi="Times New Roman" w:cs="Times New Roman"/>
          <w:i/>
          <w:sz w:val="20"/>
          <w:szCs w:val="20"/>
        </w:rPr>
        <w:t>sozinho</w:t>
      </w:r>
      <w:r w:rsidR="00DE4DCC" w:rsidRPr="004825AF">
        <w:rPr>
          <w:rFonts w:ascii="Times New Roman" w:hAnsi="Times New Roman" w:cs="Times New Roman"/>
          <w:sz w:val="20"/>
          <w:szCs w:val="20"/>
        </w:rPr>
        <w:t xml:space="preserve">, ou seja, não há obrigação do alienante. Mas, se o alienante prossegue a exploração da atividade que desenvolvia no estabelecimento alienado, ou passa a explorar outra, dentro de seis meses contados da data da alienação, a responsabilidade do adquirente é meramente </w:t>
      </w:r>
      <w:r w:rsidR="00DE4DCC" w:rsidRPr="004825AF">
        <w:rPr>
          <w:rFonts w:ascii="Times New Roman" w:hAnsi="Times New Roman" w:cs="Times New Roman"/>
          <w:i/>
          <w:sz w:val="20"/>
          <w:szCs w:val="20"/>
        </w:rPr>
        <w:t>subsidiária</w:t>
      </w:r>
      <w:r w:rsidR="00DE4DCC" w:rsidRPr="004825AF">
        <w:rPr>
          <w:rFonts w:ascii="Times New Roman" w:hAnsi="Times New Roman" w:cs="Times New Roman"/>
          <w:sz w:val="20"/>
          <w:szCs w:val="20"/>
        </w:rPr>
        <w:t>, permanecendo, pois, como principal obrigado o alienante.</w:t>
      </w:r>
    </w:p>
    <w:p w:rsidR="0018764E" w:rsidRPr="0018764E" w:rsidRDefault="00DE4DCC" w:rsidP="0018764E">
      <w:pPr>
        <w:spacing w:after="0" w:line="360" w:lineRule="auto"/>
        <w:ind w:left="2268" w:righ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764E">
        <w:rPr>
          <w:rFonts w:ascii="Times New Roman" w:hAnsi="Times New Roman" w:cs="Times New Roman"/>
          <w:sz w:val="20"/>
          <w:szCs w:val="20"/>
        </w:rPr>
        <w:t xml:space="preserve">O dispositivo busca evitar que, na venda de estabelecimento, o alienante se livre do patrimônio que poderia dar respaldo a suas obrigações tributárias. Se o alienante continua em atividade, ou a reinicia, presume-se que mantenha a capacidade de pagar suas obrigações tributárias.  Caso, apesar disso, não a mantenha, e na medida em que não a mantenha, opera a responsabilidade subsidiária do adquirente pelos tributos gerados pela exploração do estabelecimento sob gestão do </w:t>
      </w:r>
      <w:proofErr w:type="gramStart"/>
      <w:r w:rsidRPr="0018764E">
        <w:rPr>
          <w:rFonts w:ascii="Times New Roman" w:hAnsi="Times New Roman" w:cs="Times New Roman"/>
          <w:sz w:val="20"/>
          <w:szCs w:val="20"/>
        </w:rPr>
        <w:t>alienante.</w:t>
      </w:r>
      <w:proofErr w:type="gramEnd"/>
      <w:r w:rsidRPr="0018764E">
        <w:rPr>
          <w:rFonts w:ascii="Times New Roman" w:hAnsi="Times New Roman" w:cs="Times New Roman"/>
          <w:sz w:val="20"/>
          <w:szCs w:val="20"/>
        </w:rPr>
        <w:t>”</w:t>
      </w:r>
      <w:r w:rsidR="0018764E" w:rsidRPr="0018764E">
        <w:rPr>
          <w:rFonts w:ascii="Times New Roman" w:hAnsi="Times New Roman" w:cs="Times New Roman"/>
          <w:sz w:val="20"/>
          <w:szCs w:val="20"/>
        </w:rPr>
        <w:t>( AMARO, Luciano. Direito Tributário Brasileiro. 20ª ed. São Pulo: Saraiva, 2014, grifos do autor)</w:t>
      </w:r>
    </w:p>
    <w:p w:rsidR="00DE4DCC" w:rsidRPr="004825AF" w:rsidRDefault="00DE4DCC" w:rsidP="004825AF">
      <w:pPr>
        <w:spacing w:after="0" w:line="360" w:lineRule="auto"/>
        <w:ind w:left="2268" w:right="-85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6441D" w:rsidRDefault="002B5885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Ainda na esfera federal, o</w:t>
      </w:r>
      <w:r w:rsidR="00A947E0">
        <w:rPr>
          <w:rFonts w:ascii="Times New Roman" w:hAnsi="Times New Roman" w:cs="Times New Roman"/>
        </w:rPr>
        <w:t xml:space="preserve"> Convênio </w:t>
      </w:r>
      <w:proofErr w:type="spellStart"/>
      <w:r w:rsidR="00A947E0">
        <w:rPr>
          <w:rFonts w:ascii="Times New Roman" w:hAnsi="Times New Roman" w:cs="Times New Roman"/>
        </w:rPr>
        <w:t>SNº</w:t>
      </w:r>
      <w:proofErr w:type="spellEnd"/>
      <w:r w:rsidR="00A947E0">
        <w:rPr>
          <w:rFonts w:ascii="Times New Roman" w:hAnsi="Times New Roman" w:cs="Times New Roman"/>
        </w:rPr>
        <w:t xml:space="preserve">/10, de 15 de dezembro de 1970, que </w:t>
      </w:r>
      <w:r w:rsidR="007C6201">
        <w:rPr>
          <w:rFonts w:ascii="Times New Roman" w:hAnsi="Times New Roman" w:cs="Times New Roman"/>
        </w:rPr>
        <w:t>estabelece normas gerais acerca de</w:t>
      </w:r>
      <w:r w:rsidR="00A947E0">
        <w:rPr>
          <w:rFonts w:ascii="Times New Roman" w:hAnsi="Times New Roman" w:cs="Times New Roman"/>
        </w:rPr>
        <w:t xml:space="preserve"> obrigações acessórias</w:t>
      </w:r>
      <w:r w:rsidR="007C6201">
        <w:rPr>
          <w:rFonts w:ascii="Times New Roman" w:hAnsi="Times New Roman" w:cs="Times New Roman"/>
        </w:rPr>
        <w:t xml:space="preserve">, em seu art. 69, </w:t>
      </w:r>
      <w:r w:rsidR="00E5166F" w:rsidRPr="00A73786">
        <w:rPr>
          <w:rFonts w:ascii="Times New Roman" w:hAnsi="Times New Roman" w:cs="Times New Roman"/>
          <w:sz w:val="24"/>
          <w:szCs w:val="24"/>
        </w:rPr>
        <w:t xml:space="preserve">regulamenta o </w:t>
      </w:r>
      <w:r w:rsidR="00E5166F">
        <w:rPr>
          <w:rFonts w:ascii="Times New Roman" w:hAnsi="Times New Roman" w:cs="Times New Roman"/>
          <w:sz w:val="24"/>
          <w:szCs w:val="24"/>
        </w:rPr>
        <w:t xml:space="preserve">disposto nos </w:t>
      </w:r>
      <w:r w:rsidR="00E5166F" w:rsidRPr="00A73786">
        <w:rPr>
          <w:rFonts w:ascii="Times New Roman" w:hAnsi="Times New Roman" w:cs="Times New Roman"/>
          <w:sz w:val="24"/>
          <w:szCs w:val="24"/>
        </w:rPr>
        <w:t>art</w:t>
      </w:r>
      <w:r w:rsidR="00E5166F">
        <w:rPr>
          <w:rFonts w:ascii="Times New Roman" w:hAnsi="Times New Roman" w:cs="Times New Roman"/>
          <w:sz w:val="24"/>
          <w:szCs w:val="24"/>
        </w:rPr>
        <w:t>igos 132 e 133</w:t>
      </w:r>
      <w:r w:rsidR="00E5166F" w:rsidRPr="00A73786">
        <w:rPr>
          <w:rFonts w:ascii="Times New Roman" w:hAnsi="Times New Roman" w:cs="Times New Roman"/>
          <w:sz w:val="24"/>
          <w:szCs w:val="24"/>
        </w:rPr>
        <w:t xml:space="preserve"> do C</w:t>
      </w:r>
      <w:r w:rsidR="00E5166F">
        <w:rPr>
          <w:rFonts w:ascii="Times New Roman" w:hAnsi="Times New Roman" w:cs="Times New Roman"/>
          <w:sz w:val="24"/>
          <w:szCs w:val="24"/>
        </w:rPr>
        <w:t xml:space="preserve">ódigo </w:t>
      </w:r>
      <w:r w:rsidR="00E5166F" w:rsidRPr="00A73786">
        <w:rPr>
          <w:rFonts w:ascii="Times New Roman" w:hAnsi="Times New Roman" w:cs="Times New Roman"/>
          <w:sz w:val="24"/>
          <w:szCs w:val="24"/>
        </w:rPr>
        <w:t>T</w:t>
      </w:r>
      <w:r w:rsidR="00E5166F">
        <w:rPr>
          <w:rFonts w:ascii="Times New Roman" w:hAnsi="Times New Roman" w:cs="Times New Roman"/>
          <w:sz w:val="24"/>
          <w:szCs w:val="24"/>
        </w:rPr>
        <w:t>ributário Nacional, nos seguintes termos:</w:t>
      </w:r>
    </w:p>
    <w:p w:rsidR="00E5166F" w:rsidRDefault="00E5166F" w:rsidP="00BD7101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A6441D" w:rsidRPr="002E46D5" w:rsidRDefault="00A6441D" w:rsidP="00A6441D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“</w:t>
      </w:r>
      <w:r w:rsidRPr="002E46D5">
        <w:rPr>
          <w:rFonts w:ascii="Times New Roman" w:hAnsi="Times New Roman" w:cs="Times New Roman"/>
          <w:sz w:val="20"/>
          <w:szCs w:val="20"/>
        </w:rPr>
        <w:t>Art. 69</w:t>
      </w:r>
      <w:r w:rsidRPr="00A6441D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Pr="00A6441D">
        <w:rPr>
          <w:rFonts w:ascii="Times New Roman" w:hAnsi="Times New Roman" w:cs="Times New Roman"/>
          <w:sz w:val="20"/>
          <w:szCs w:val="20"/>
          <w:u w:val="single"/>
        </w:rPr>
        <w:t xml:space="preserve"> Nos casos de fusão, incorporação, transformação </w:t>
      </w:r>
      <w:r w:rsidRPr="00A6441D">
        <w:rPr>
          <w:rFonts w:ascii="Times New Roman" w:hAnsi="Times New Roman" w:cs="Times New Roman"/>
          <w:b/>
          <w:sz w:val="20"/>
          <w:szCs w:val="20"/>
          <w:u w:val="single"/>
        </w:rPr>
        <w:t>ou aquisição</w:t>
      </w:r>
      <w:r w:rsidRPr="00A6441D">
        <w:rPr>
          <w:rFonts w:ascii="Times New Roman" w:hAnsi="Times New Roman" w:cs="Times New Roman"/>
          <w:sz w:val="20"/>
          <w:szCs w:val="20"/>
          <w:u w:val="single"/>
        </w:rPr>
        <w:t>, o novo titular</w:t>
      </w:r>
      <w:r w:rsidRPr="002E46D5">
        <w:rPr>
          <w:rFonts w:ascii="Times New Roman" w:hAnsi="Times New Roman" w:cs="Times New Roman"/>
          <w:sz w:val="20"/>
          <w:szCs w:val="20"/>
        </w:rPr>
        <w:t xml:space="preserve"> do estabelecimento </w:t>
      </w:r>
      <w:r w:rsidRPr="00A6441D">
        <w:rPr>
          <w:rFonts w:ascii="Times New Roman" w:hAnsi="Times New Roman" w:cs="Times New Roman"/>
          <w:sz w:val="20"/>
          <w:szCs w:val="20"/>
          <w:u w:val="single"/>
        </w:rPr>
        <w:t>deverá transferir, para o seu nome</w:t>
      </w:r>
      <w:r w:rsidRPr="002E46D5">
        <w:rPr>
          <w:rFonts w:ascii="Times New Roman" w:hAnsi="Times New Roman" w:cs="Times New Roman"/>
          <w:sz w:val="20"/>
          <w:szCs w:val="20"/>
        </w:rPr>
        <w:t>, por intermédio da repartição competente do Fisco estadual, no prazo de 30 (trinta) dias da data da ocorrência, os livros fiscais em uso, assumindo a responsabilidade pela sua guarda, conservação e exibição ao Fisco.</w:t>
      </w:r>
    </w:p>
    <w:p w:rsidR="00A6441D" w:rsidRPr="002E46D5" w:rsidRDefault="00A6441D" w:rsidP="00A6441D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2E46D5">
        <w:rPr>
          <w:rFonts w:ascii="Times New Roman" w:hAnsi="Times New Roman" w:cs="Times New Roman"/>
          <w:sz w:val="20"/>
          <w:szCs w:val="20"/>
        </w:rPr>
        <w:t xml:space="preserve">Parágrafo único. </w:t>
      </w:r>
      <w:proofErr w:type="gramStart"/>
      <w:r w:rsidRPr="002E46D5">
        <w:rPr>
          <w:rFonts w:ascii="Times New Roman" w:hAnsi="Times New Roman" w:cs="Times New Roman"/>
          <w:sz w:val="20"/>
          <w:szCs w:val="20"/>
        </w:rPr>
        <w:t>A repartição competente do Fisco estadual poderá autorizar a adoção de livros novos em substituição aos anteriormente em uso.</w:t>
      </w:r>
      <w:r>
        <w:rPr>
          <w:rFonts w:ascii="Times New Roman" w:hAnsi="Times New Roman" w:cs="Times New Roman"/>
          <w:sz w:val="20"/>
          <w:szCs w:val="20"/>
        </w:rPr>
        <w:t>”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(grifos nossos)</w:t>
      </w:r>
    </w:p>
    <w:p w:rsidR="00BD7101" w:rsidRDefault="00BD7101" w:rsidP="00A73F5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726A29" w:rsidRDefault="002B5885" w:rsidP="00A73F5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Já </w:t>
      </w:r>
      <w:proofErr w:type="gramStart"/>
      <w:r>
        <w:rPr>
          <w:rFonts w:ascii="Times New Roman" w:hAnsi="Times New Roman" w:cs="Times New Roman"/>
        </w:rPr>
        <w:t>o</w:t>
      </w:r>
      <w:r w:rsidR="00726A29">
        <w:rPr>
          <w:rFonts w:ascii="Times New Roman" w:hAnsi="Times New Roman" w:cs="Times New Roman"/>
        </w:rPr>
        <w:t xml:space="preserve"> Livro VI</w:t>
      </w:r>
      <w:proofErr w:type="gramEnd"/>
      <w:r w:rsidR="00726A29">
        <w:rPr>
          <w:rFonts w:ascii="Times New Roman" w:hAnsi="Times New Roman" w:cs="Times New Roman"/>
        </w:rPr>
        <w:t xml:space="preserve"> do Regulamento do ICMS, aprovado pelo Decreto nº 27.427, de 17 de novembro de 2000, (RICMS/00), </w:t>
      </w:r>
      <w:r w:rsidR="003D2B5B">
        <w:rPr>
          <w:rFonts w:ascii="Times New Roman" w:hAnsi="Times New Roman" w:cs="Times New Roman"/>
        </w:rPr>
        <w:t>que disciplina as obrigações acessórias, em seu artigo 43</w:t>
      </w:r>
      <w:r w:rsidR="00050059">
        <w:rPr>
          <w:rFonts w:ascii="Times New Roman" w:hAnsi="Times New Roman" w:cs="Times New Roman"/>
        </w:rPr>
        <w:t>, transcrito abaixo,</w:t>
      </w:r>
      <w:r w:rsidR="003D2B5B">
        <w:rPr>
          <w:rFonts w:ascii="Times New Roman" w:hAnsi="Times New Roman" w:cs="Times New Roman"/>
        </w:rPr>
        <w:t xml:space="preserve"> </w:t>
      </w:r>
      <w:r w:rsidR="00050059">
        <w:rPr>
          <w:rFonts w:ascii="Times New Roman" w:hAnsi="Times New Roman" w:cs="Times New Roman"/>
        </w:rPr>
        <w:t>também regula a matéria</w:t>
      </w:r>
      <w:r w:rsidR="00AE7704">
        <w:rPr>
          <w:rFonts w:ascii="Times New Roman" w:hAnsi="Times New Roman" w:cs="Times New Roman"/>
        </w:rPr>
        <w:t xml:space="preserve"> de forma similar ao convênio supracitado</w:t>
      </w:r>
      <w:r w:rsidR="00050059">
        <w:rPr>
          <w:rFonts w:ascii="Times New Roman" w:hAnsi="Times New Roman" w:cs="Times New Roman"/>
        </w:rPr>
        <w:t>, embora desatualizado no</w:t>
      </w:r>
      <w:r w:rsidR="008D4B48">
        <w:rPr>
          <w:rFonts w:ascii="Times New Roman" w:hAnsi="Times New Roman" w:cs="Times New Roman"/>
        </w:rPr>
        <w:t xml:space="preserve"> que diz respeito</w:t>
      </w:r>
      <w:r w:rsidR="00050059">
        <w:rPr>
          <w:rFonts w:ascii="Times New Roman" w:hAnsi="Times New Roman" w:cs="Times New Roman"/>
        </w:rPr>
        <w:t xml:space="preserve"> a possibilidade de dar continuidade a escrituração nos livros fiscais</w:t>
      </w:r>
      <w:r w:rsidR="008D4B48">
        <w:rPr>
          <w:rFonts w:ascii="Times New Roman" w:hAnsi="Times New Roman" w:cs="Times New Roman"/>
        </w:rPr>
        <w:t xml:space="preserve"> em uso </w:t>
      </w:r>
      <w:r w:rsidR="00050059">
        <w:rPr>
          <w:rFonts w:ascii="Times New Roman" w:hAnsi="Times New Roman" w:cs="Times New Roman"/>
        </w:rPr>
        <w:t xml:space="preserve">ou mesmo de </w:t>
      </w:r>
      <w:r w:rsidR="008D4B48">
        <w:rPr>
          <w:rFonts w:ascii="Times New Roman" w:hAnsi="Times New Roman" w:cs="Times New Roman"/>
        </w:rPr>
        <w:t>utilizar</w:t>
      </w:r>
      <w:r w:rsidR="00050059">
        <w:rPr>
          <w:rFonts w:ascii="Times New Roman" w:hAnsi="Times New Roman" w:cs="Times New Roman"/>
        </w:rPr>
        <w:t xml:space="preserve"> os documentos fiscais remanescentes tendo em vista a obrigatoriedade de </w:t>
      </w:r>
      <w:r w:rsidR="008D4B48">
        <w:rPr>
          <w:rFonts w:ascii="Times New Roman" w:hAnsi="Times New Roman" w:cs="Times New Roman"/>
        </w:rPr>
        <w:t>adoção</w:t>
      </w:r>
      <w:r w:rsidR="00050059">
        <w:rPr>
          <w:rFonts w:ascii="Times New Roman" w:hAnsi="Times New Roman" w:cs="Times New Roman"/>
        </w:rPr>
        <w:t xml:space="preserve"> de documentos fiscais eletrôn</w:t>
      </w:r>
      <w:r w:rsidR="008D4B48">
        <w:rPr>
          <w:rFonts w:ascii="Times New Roman" w:hAnsi="Times New Roman" w:cs="Times New Roman"/>
        </w:rPr>
        <w:t>icos e da escrituração fiscal digital pel</w:t>
      </w:r>
      <w:r w:rsidR="00050059">
        <w:rPr>
          <w:rFonts w:ascii="Times New Roman" w:hAnsi="Times New Roman" w:cs="Times New Roman"/>
        </w:rPr>
        <w:t>os contribuintes</w:t>
      </w:r>
      <w:r w:rsidR="008D4B48">
        <w:rPr>
          <w:rFonts w:ascii="Times New Roman" w:hAnsi="Times New Roman" w:cs="Times New Roman"/>
        </w:rPr>
        <w:t xml:space="preserve"> do ICMS</w:t>
      </w:r>
      <w:r w:rsidR="009110AD">
        <w:rPr>
          <w:rFonts w:ascii="Times New Roman" w:hAnsi="Times New Roman" w:cs="Times New Roman"/>
        </w:rPr>
        <w:t>.</w:t>
      </w:r>
      <w:r w:rsidR="00050059">
        <w:rPr>
          <w:rFonts w:ascii="Times New Roman" w:hAnsi="Times New Roman" w:cs="Times New Roman"/>
        </w:rPr>
        <w:t xml:space="preserve"> </w:t>
      </w:r>
      <w:r w:rsidR="00726A29">
        <w:rPr>
          <w:rFonts w:ascii="Times New Roman" w:hAnsi="Times New Roman" w:cs="Times New Roman"/>
        </w:rPr>
        <w:t xml:space="preserve"> </w:t>
      </w:r>
    </w:p>
    <w:p w:rsidR="003D2B5B" w:rsidRDefault="003D2B5B" w:rsidP="00A73F5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726A29" w:rsidRPr="00726A29" w:rsidRDefault="003D2B5B" w:rsidP="00726A29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“</w:t>
      </w:r>
      <w:r w:rsidR="00726A29" w:rsidRPr="00726A29">
        <w:rPr>
          <w:rFonts w:ascii="Times New Roman" w:hAnsi="Times New Roman" w:cs="Times New Roman"/>
          <w:sz w:val="20"/>
          <w:szCs w:val="20"/>
        </w:rPr>
        <w:t>Art. 43.</w:t>
      </w:r>
      <w:proofErr w:type="gramEnd"/>
      <w:r w:rsidR="00726A29" w:rsidRPr="00726A29">
        <w:rPr>
          <w:rFonts w:ascii="Times New Roman" w:hAnsi="Times New Roman" w:cs="Times New Roman"/>
          <w:sz w:val="20"/>
          <w:szCs w:val="20"/>
        </w:rPr>
        <w:t xml:space="preserve"> </w:t>
      </w:r>
      <w:r w:rsidR="00726A29" w:rsidRPr="00050059">
        <w:rPr>
          <w:rFonts w:ascii="Times New Roman" w:hAnsi="Times New Roman" w:cs="Times New Roman"/>
          <w:sz w:val="20"/>
          <w:szCs w:val="20"/>
          <w:u w:val="single"/>
        </w:rPr>
        <w:t xml:space="preserve">Nos casos de fusão, cisão, incorporação, transformação ou </w:t>
      </w:r>
      <w:r w:rsidR="00726A29" w:rsidRPr="00050059">
        <w:rPr>
          <w:rFonts w:ascii="Times New Roman" w:hAnsi="Times New Roman" w:cs="Times New Roman"/>
          <w:b/>
          <w:sz w:val="20"/>
          <w:szCs w:val="20"/>
          <w:u w:val="single"/>
        </w:rPr>
        <w:t>aquisição</w:t>
      </w:r>
      <w:r w:rsidR="00726A29" w:rsidRPr="00726A29">
        <w:rPr>
          <w:rFonts w:ascii="Times New Roman" w:hAnsi="Times New Roman" w:cs="Times New Roman"/>
          <w:sz w:val="20"/>
          <w:szCs w:val="20"/>
        </w:rPr>
        <w:t xml:space="preserve">, bem como nos casos de transmissão a herdeiro ou legatário, </w:t>
      </w:r>
      <w:r w:rsidR="00726A29" w:rsidRPr="00050059">
        <w:rPr>
          <w:rFonts w:ascii="Times New Roman" w:hAnsi="Times New Roman" w:cs="Times New Roman"/>
          <w:sz w:val="20"/>
          <w:szCs w:val="20"/>
          <w:u w:val="single"/>
        </w:rPr>
        <w:t>o novo titular do estabelecimento deverá transferir para o seu nome</w:t>
      </w:r>
      <w:r w:rsidR="00726A29" w:rsidRPr="00726A29">
        <w:rPr>
          <w:rFonts w:ascii="Times New Roman" w:hAnsi="Times New Roman" w:cs="Times New Roman"/>
          <w:sz w:val="20"/>
          <w:szCs w:val="20"/>
        </w:rPr>
        <w:t xml:space="preserve">, por intermédio da repartição fiscal competente, no prazo de 30 (trinta) dias, contados da data da ocorrência, </w:t>
      </w:r>
      <w:r w:rsidR="00726A29" w:rsidRPr="00050059">
        <w:rPr>
          <w:rFonts w:ascii="Times New Roman" w:hAnsi="Times New Roman" w:cs="Times New Roman"/>
          <w:sz w:val="20"/>
          <w:szCs w:val="20"/>
          <w:u w:val="single"/>
        </w:rPr>
        <w:t>os livros fiscais em uso</w:t>
      </w:r>
      <w:r w:rsidR="00726A29" w:rsidRPr="00726A29">
        <w:rPr>
          <w:rFonts w:ascii="Times New Roman" w:hAnsi="Times New Roman" w:cs="Times New Roman"/>
          <w:sz w:val="20"/>
          <w:szCs w:val="20"/>
        </w:rPr>
        <w:t>, assumindo a responsabilidade por sua guarda, conservação e exibição ao Fisco.</w:t>
      </w:r>
    </w:p>
    <w:p w:rsidR="00726A29" w:rsidRPr="00726A29" w:rsidRDefault="00726A29" w:rsidP="00726A29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 xml:space="preserve">§ 1.º Nas hipóteses deste artigo, salvo disposição em contrário, será </w:t>
      </w:r>
      <w:r w:rsidRPr="00050059">
        <w:rPr>
          <w:rFonts w:ascii="Times New Roman" w:hAnsi="Times New Roman" w:cs="Times New Roman"/>
          <w:sz w:val="20"/>
          <w:szCs w:val="20"/>
          <w:u w:val="single"/>
        </w:rPr>
        <w:t>permitida a utilização dos documentos fiscais remanescentes</w:t>
      </w:r>
      <w:r w:rsidRPr="00726A29">
        <w:rPr>
          <w:rFonts w:ascii="Times New Roman" w:hAnsi="Times New Roman" w:cs="Times New Roman"/>
          <w:sz w:val="20"/>
          <w:szCs w:val="20"/>
        </w:rPr>
        <w:t>, mediante a aposição de carimbo com o novo nome empresarial ou o novo endereço, conforme o caso.</w:t>
      </w:r>
    </w:p>
    <w:p w:rsidR="00726A29" w:rsidRPr="00726A29" w:rsidRDefault="00726A29" w:rsidP="00726A29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>§ 2.º O novo titular assumirá, também, a responsabilidade pela guarda, conservação e exibição ao Fisco dos livros fiscais já encerrados pertencentes ao estabelecimento.</w:t>
      </w:r>
    </w:p>
    <w:p w:rsidR="00726A29" w:rsidRPr="00726A29" w:rsidRDefault="00726A29" w:rsidP="00726A29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 xml:space="preserve">§ 3.º Nas hipóteses deste artigo, </w:t>
      </w:r>
      <w:r w:rsidRPr="00050059">
        <w:rPr>
          <w:rFonts w:ascii="Times New Roman" w:hAnsi="Times New Roman" w:cs="Times New Roman"/>
          <w:sz w:val="20"/>
          <w:szCs w:val="20"/>
          <w:u w:val="single"/>
        </w:rPr>
        <w:t>a critério da repartição fiscal competente, pode ser autorizada a adoção de livros novos em substituição aos anteriormente em uso</w:t>
      </w:r>
      <w:r w:rsidRPr="00726A29">
        <w:rPr>
          <w:rFonts w:ascii="Times New Roman" w:hAnsi="Times New Roman" w:cs="Times New Roman"/>
          <w:sz w:val="20"/>
          <w:szCs w:val="20"/>
        </w:rPr>
        <w:t>.</w:t>
      </w:r>
    </w:p>
    <w:p w:rsidR="00726A29" w:rsidRPr="00726A29" w:rsidRDefault="00726A29" w:rsidP="00726A29">
      <w:pPr>
        <w:spacing w:after="0" w:line="360" w:lineRule="auto"/>
        <w:ind w:left="2268" w:right="-851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>§ 4.º Relativamente a documentos e arquivos eletrônicos, inclusive a EFD ICMS/IPI, além da responsabilidade pela guarda, o contribuinte deverá observar as disposições específicas concernentes a esses documentos e arquivos.</w:t>
      </w:r>
      <w:r w:rsidR="003D2B5B">
        <w:rPr>
          <w:rFonts w:ascii="Times New Roman" w:hAnsi="Times New Roman" w:cs="Times New Roman"/>
          <w:sz w:val="20"/>
          <w:szCs w:val="20"/>
        </w:rPr>
        <w:t>”</w:t>
      </w:r>
      <w:r w:rsidR="00050059">
        <w:rPr>
          <w:rFonts w:ascii="Times New Roman" w:hAnsi="Times New Roman" w:cs="Times New Roman"/>
          <w:sz w:val="20"/>
          <w:szCs w:val="20"/>
        </w:rPr>
        <w:t xml:space="preserve"> (grifos nossos</w:t>
      </w:r>
      <w:proofErr w:type="gramStart"/>
      <w:r w:rsidR="0005005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E7704" w:rsidRDefault="00AE7704" w:rsidP="00A73F5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31172C" w:rsidRDefault="002B5885" w:rsidP="002B5885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certo que, nos casos a que se refere o </w:t>
      </w:r>
      <w:r w:rsidRPr="002B5885">
        <w:rPr>
          <w:rFonts w:ascii="Times New Roman" w:hAnsi="Times New Roman" w:cs="Times New Roman"/>
          <w:i/>
        </w:rPr>
        <w:t>caput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do art. 43 do Livro VI do RICMS/00, tendo em vista as soluções tecnológicas em uso para emissão de documentos fiscais e escrituração fiscal e ainda a </w:t>
      </w:r>
      <w:r w:rsidRPr="002B5885">
        <w:rPr>
          <w:rFonts w:ascii="Times New Roman" w:hAnsi="Times New Roman" w:cs="Times New Roman"/>
        </w:rPr>
        <w:t xml:space="preserve">nova redação do Anexo I, da Parte II, da Resolução SEFAZ nº 720/14, dada pela Resolução SEFAZ n.º 994/2016, que dispõe sobre o Cadastro de Contribuintes do ICMS, </w:t>
      </w:r>
      <w:r w:rsidR="001203A0">
        <w:rPr>
          <w:rFonts w:ascii="Times New Roman" w:hAnsi="Times New Roman" w:cs="Times New Roman"/>
        </w:rPr>
        <w:t>determina</w:t>
      </w:r>
      <w:r w:rsidRPr="002B5885">
        <w:rPr>
          <w:rFonts w:ascii="Times New Roman" w:hAnsi="Times New Roman" w:cs="Times New Roman"/>
        </w:rPr>
        <w:t>ndo a obrigatoriedade de</w:t>
      </w:r>
      <w:proofErr w:type="gramStart"/>
      <w:r w:rsidRPr="002B5885">
        <w:rPr>
          <w:rFonts w:ascii="Times New Roman" w:hAnsi="Times New Roman" w:cs="Times New Roman"/>
        </w:rPr>
        <w:t xml:space="preserve"> </w:t>
      </w:r>
      <w:r w:rsidRPr="002B5885">
        <w:t xml:space="preserve"> </w:t>
      </w:r>
      <w:proofErr w:type="gramEnd"/>
      <w:r w:rsidRPr="002B5885">
        <w:rPr>
          <w:rFonts w:ascii="Times New Roman" w:hAnsi="Times New Roman" w:cs="Times New Roman"/>
        </w:rPr>
        <w:t>nova inscrição estadual para os estabelecimentos da empresa sucessora, resultantes do processo de fusão, incorporação ou cisão</w:t>
      </w:r>
      <w:r w:rsidR="0031172C">
        <w:rPr>
          <w:rFonts w:ascii="Times New Roman" w:hAnsi="Times New Roman" w:cs="Times New Roman"/>
        </w:rPr>
        <w:t xml:space="preserve">, torna-se necessária a alteração da legislação, em especial da Resolução SEFAZ nº 720/14, para operacionalizar a transferência de mercadorias em estoque, bens do ativo e manutenção dos créditos pelo estabelecimento sucessor. </w:t>
      </w:r>
    </w:p>
    <w:p w:rsidR="00DD30B2" w:rsidRDefault="00DD30B2" w:rsidP="002A635B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</w:p>
    <w:p w:rsidR="00A73F56" w:rsidRDefault="00DD30B2" w:rsidP="001203A0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A6A4E">
        <w:rPr>
          <w:rFonts w:ascii="Times New Roman" w:hAnsi="Times New Roman" w:cs="Times New Roman"/>
        </w:rPr>
        <w:t xml:space="preserve">Dessa forma, a configuração das hipóteses de sucessão societária previstas nos dispositivos supracitados implica na assunção, pelo estabelecimento sucessor, dos deveres e obrigações do estabelecimento fusionado, cindido, incorporado, transformado ou adquirido, garantindo-se assim a manutenção dos direitos (créditos).    </w:t>
      </w:r>
    </w:p>
    <w:p w:rsidR="001B5FEA" w:rsidRDefault="001B5FEA" w:rsidP="00A73F56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</w:rPr>
      </w:pPr>
    </w:p>
    <w:p w:rsidR="005C7703" w:rsidRDefault="005C7703" w:rsidP="00C244E5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III – RESPOSTA</w:t>
      </w:r>
    </w:p>
    <w:p w:rsidR="0031172C" w:rsidRDefault="0031172C" w:rsidP="00C244E5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1172C" w:rsidRDefault="0031172C" w:rsidP="0031172C">
      <w:pPr>
        <w:spacing w:after="0" w:line="360" w:lineRule="auto"/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Pelo exposto, é entendimento desta Superintendência que </w:t>
      </w:r>
      <w:r w:rsidR="001203A0">
        <w:rPr>
          <w:rFonts w:ascii="Times New Roman" w:hAnsi="Times New Roman" w:cs="Times New Roman"/>
        </w:rPr>
        <w:t xml:space="preserve">nos casos de </w:t>
      </w:r>
      <w:r w:rsidR="001203A0" w:rsidRPr="001203A0">
        <w:rPr>
          <w:rFonts w:ascii="Times New Roman" w:hAnsi="Times New Roman" w:cs="Times New Roman"/>
        </w:rPr>
        <w:t>fusão, cisão, incorporação, transformação ou aquisição</w:t>
      </w:r>
      <w:r w:rsidR="001203A0">
        <w:rPr>
          <w:rFonts w:ascii="Times New Roman" w:hAnsi="Times New Roman" w:cs="Times New Roman"/>
        </w:rPr>
        <w:t xml:space="preserve"> de estabelecimento, sendo estabelecimento entendido como uma universalidade de bens, direitos ou obrigações e não apenas o ativo ou conjunto de ativos, é permitido ao estabelecimento sucessor a manutenção dos créditos detidos anteriormente pelo estabelecimento fusionado, cindido, incorporado, transformado ou adquirido, nos termos do art. 43 do Livro </w:t>
      </w:r>
      <w:proofErr w:type="gramStart"/>
      <w:r w:rsidR="001203A0">
        <w:rPr>
          <w:rFonts w:ascii="Times New Roman" w:hAnsi="Times New Roman" w:cs="Times New Roman"/>
        </w:rPr>
        <w:t>VI</w:t>
      </w:r>
      <w:proofErr w:type="gramEnd"/>
      <w:r w:rsidR="001203A0">
        <w:rPr>
          <w:rFonts w:ascii="Times New Roman" w:hAnsi="Times New Roman" w:cs="Times New Roman"/>
        </w:rPr>
        <w:t xml:space="preserve"> do Regulamento do ICMS, aprovado pelo Decreto nº 27.427, de 17 de novembro de 2000, (RICMS/00).</w:t>
      </w:r>
    </w:p>
    <w:p w:rsidR="00610C52" w:rsidRDefault="00610C52" w:rsidP="005C7703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5C7703" w:rsidRPr="006F06F0" w:rsidRDefault="005C7703" w:rsidP="005C7703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CCJT, em </w:t>
      </w:r>
      <w:r w:rsidR="000630B7">
        <w:rPr>
          <w:rFonts w:ascii="Times New Roman" w:hAnsi="Times New Roman" w:cs="Times New Roman"/>
        </w:rPr>
        <w:t>2</w:t>
      </w:r>
      <w:r w:rsidR="001203A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junho de </w:t>
      </w:r>
      <w:proofErr w:type="gramStart"/>
      <w:r>
        <w:rPr>
          <w:rFonts w:ascii="Times New Roman" w:hAnsi="Times New Roman" w:cs="Times New Roman"/>
        </w:rPr>
        <w:t>2016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</w:p>
    <w:p w:rsidR="005C7703" w:rsidRDefault="005C7703" w:rsidP="005C7703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5C7703" w:rsidRDefault="005C7703" w:rsidP="005C7703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sectPr w:rsidR="005C7703" w:rsidSect="00EE2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A0" w:rsidRDefault="001203A0" w:rsidP="00546EC0">
      <w:pPr>
        <w:spacing w:after="0" w:line="240" w:lineRule="auto"/>
      </w:pPr>
      <w:r>
        <w:separator/>
      </w:r>
    </w:p>
  </w:endnote>
  <w:endnote w:type="continuationSeparator" w:id="0">
    <w:p w:rsidR="001203A0" w:rsidRDefault="001203A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6C" w:rsidRDefault="00EE2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6C" w:rsidRDefault="00EE24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6C" w:rsidRDefault="00EE2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A0" w:rsidRDefault="001203A0" w:rsidP="00546EC0">
      <w:pPr>
        <w:spacing w:after="0" w:line="240" w:lineRule="auto"/>
      </w:pPr>
      <w:r>
        <w:separator/>
      </w:r>
    </w:p>
  </w:footnote>
  <w:footnote w:type="continuationSeparator" w:id="0">
    <w:p w:rsidR="001203A0" w:rsidRDefault="001203A0" w:rsidP="00546EC0">
      <w:pPr>
        <w:spacing w:after="0" w:line="240" w:lineRule="auto"/>
      </w:pPr>
      <w:r>
        <w:continuationSeparator/>
      </w:r>
    </w:p>
  </w:footnote>
  <w:footnote w:id="1">
    <w:p w:rsidR="001203A0" w:rsidRPr="00BA247D" w:rsidRDefault="001203A0" w:rsidP="00AF79F6">
      <w:pPr>
        <w:spacing w:after="0" w:line="240" w:lineRule="au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BA247D">
        <w:rPr>
          <w:rStyle w:val="Refdenotaderodap"/>
          <w:sz w:val="16"/>
          <w:szCs w:val="16"/>
        </w:rPr>
        <w:footnoteRef/>
      </w:r>
      <w:r w:rsidRPr="00BA247D">
        <w:rPr>
          <w:sz w:val="16"/>
          <w:szCs w:val="16"/>
        </w:rPr>
        <w:t xml:space="preserve"> </w:t>
      </w:r>
      <w:r w:rsidRPr="00BA247D">
        <w:rPr>
          <w:rFonts w:ascii="Times New Roman" w:hAnsi="Times New Roman" w:cs="Times New Roman"/>
          <w:sz w:val="16"/>
          <w:szCs w:val="16"/>
        </w:rPr>
        <w:t>“</w:t>
      </w:r>
      <w:r w:rsidRPr="00BA247D">
        <w:rPr>
          <w:rFonts w:ascii="Times New Roman" w:hAnsi="Times New Roman" w:cs="Times New Roman"/>
          <w:b/>
          <w:sz w:val="16"/>
          <w:szCs w:val="16"/>
        </w:rPr>
        <w:t>Art. 151</w:t>
      </w:r>
      <w:r w:rsidRPr="00BA247D">
        <w:rPr>
          <w:rFonts w:ascii="Times New Roman" w:hAnsi="Times New Roman" w:cs="Times New Roman"/>
          <w:sz w:val="16"/>
          <w:szCs w:val="16"/>
        </w:rPr>
        <w:t xml:space="preserve">. </w:t>
      </w:r>
      <w:r w:rsidRPr="00BA247D">
        <w:rPr>
          <w:rFonts w:ascii="Times New Roman" w:hAnsi="Times New Roman" w:cs="Times New Roman"/>
          <w:b/>
          <w:sz w:val="16"/>
          <w:szCs w:val="16"/>
        </w:rPr>
        <w:t xml:space="preserve">A consulta </w:t>
      </w:r>
      <w:r w:rsidRPr="00BA247D">
        <w:rPr>
          <w:rFonts w:ascii="Times New Roman" w:hAnsi="Times New Roman" w:cs="Times New Roman"/>
          <w:b/>
          <w:sz w:val="16"/>
          <w:szCs w:val="16"/>
          <w:u w:val="single"/>
        </w:rPr>
        <w:t>deverá</w:t>
      </w:r>
      <w:r w:rsidRPr="00BA247D">
        <w:rPr>
          <w:rFonts w:ascii="Times New Roman" w:hAnsi="Times New Roman" w:cs="Times New Roman"/>
          <w:b/>
          <w:sz w:val="16"/>
          <w:szCs w:val="16"/>
        </w:rPr>
        <w:t xml:space="preserve"> ser formulada por escrito</w:t>
      </w:r>
      <w:r w:rsidRPr="00BA247D">
        <w:rPr>
          <w:rFonts w:ascii="Times New Roman" w:hAnsi="Times New Roman" w:cs="Times New Roman"/>
          <w:sz w:val="16"/>
          <w:szCs w:val="16"/>
        </w:rPr>
        <w:t xml:space="preserve">, observado o disposto na seção III do Capítulo I, </w:t>
      </w:r>
      <w:r w:rsidRPr="00BA247D">
        <w:rPr>
          <w:rFonts w:ascii="Times New Roman" w:hAnsi="Times New Roman" w:cs="Times New Roman"/>
          <w:b/>
          <w:sz w:val="16"/>
          <w:szCs w:val="16"/>
        </w:rPr>
        <w:t xml:space="preserve">e </w:t>
      </w:r>
      <w:proofErr w:type="gramStart"/>
      <w:r w:rsidRPr="00BA247D">
        <w:rPr>
          <w:rFonts w:ascii="Times New Roman" w:hAnsi="Times New Roman" w:cs="Times New Roman"/>
          <w:b/>
          <w:sz w:val="16"/>
          <w:szCs w:val="16"/>
        </w:rPr>
        <w:t>apresentada na repartição fiscal a que estiver jurisdicionado</w:t>
      </w:r>
      <w:proofErr w:type="gramEnd"/>
      <w:r w:rsidRPr="00BA247D">
        <w:rPr>
          <w:rFonts w:ascii="Times New Roman" w:hAnsi="Times New Roman" w:cs="Times New Roman"/>
          <w:b/>
          <w:sz w:val="16"/>
          <w:szCs w:val="16"/>
        </w:rPr>
        <w:t xml:space="preserve"> o consulente</w:t>
      </w:r>
      <w:r w:rsidRPr="00BA247D">
        <w:rPr>
          <w:rFonts w:ascii="Times New Roman" w:hAnsi="Times New Roman" w:cs="Times New Roman"/>
          <w:sz w:val="16"/>
          <w:szCs w:val="16"/>
        </w:rPr>
        <w:t>, devidamente acompanhada do comprovante de recolhimento da taxa a que se refere o item 12 do inciso III do Art. 107, do Decreto Lei n.º 5/75, com as alterações trazidas pela Lei n.º 2.879/97, quando for o caso.” (grifos nossos)</w:t>
      </w:r>
    </w:p>
    <w:p w:rsidR="001203A0" w:rsidRPr="00BA247D" w:rsidRDefault="001203A0" w:rsidP="00AF79F6">
      <w:pPr>
        <w:spacing w:after="0" w:line="240" w:lineRule="auto"/>
        <w:ind w:right="-851"/>
        <w:jc w:val="both"/>
        <w:rPr>
          <w:sz w:val="16"/>
          <w:szCs w:val="16"/>
        </w:rPr>
      </w:pPr>
    </w:p>
  </w:footnote>
  <w:footnote w:id="2">
    <w:p w:rsidR="001203A0" w:rsidRPr="00BA247D" w:rsidRDefault="001203A0" w:rsidP="00AF79F6">
      <w:pPr>
        <w:spacing w:after="0" w:line="240" w:lineRule="au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BA247D">
        <w:rPr>
          <w:rStyle w:val="Refdenotaderodap"/>
          <w:sz w:val="16"/>
          <w:szCs w:val="16"/>
        </w:rPr>
        <w:footnoteRef/>
      </w:r>
      <w:r w:rsidRPr="00BA247D">
        <w:rPr>
          <w:sz w:val="16"/>
          <w:szCs w:val="16"/>
        </w:rPr>
        <w:t xml:space="preserve"> </w:t>
      </w:r>
      <w:r w:rsidRPr="00BA247D">
        <w:rPr>
          <w:rFonts w:ascii="Times New Roman" w:hAnsi="Times New Roman" w:cs="Times New Roman"/>
          <w:sz w:val="16"/>
          <w:szCs w:val="16"/>
        </w:rPr>
        <w:t>“</w:t>
      </w:r>
      <w:r w:rsidRPr="00BA247D">
        <w:rPr>
          <w:rFonts w:ascii="Times New Roman" w:hAnsi="Times New Roman" w:cs="Times New Roman"/>
          <w:b/>
          <w:sz w:val="16"/>
          <w:szCs w:val="16"/>
        </w:rPr>
        <w:t>Art. 3</w:t>
      </w:r>
      <w:r w:rsidRPr="00BA247D">
        <w:rPr>
          <w:rFonts w:ascii="Times New Roman" w:hAnsi="Times New Roman" w:cs="Times New Roman"/>
          <w:sz w:val="16"/>
          <w:szCs w:val="16"/>
        </w:rPr>
        <w:t xml:space="preserve">º Recebida </w:t>
      </w:r>
      <w:proofErr w:type="gramStart"/>
      <w:r w:rsidRPr="00BA247D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BA247D">
        <w:rPr>
          <w:rFonts w:ascii="Times New Roman" w:hAnsi="Times New Roman" w:cs="Times New Roman"/>
          <w:sz w:val="16"/>
          <w:szCs w:val="16"/>
        </w:rPr>
        <w:t xml:space="preserve"> consulta, a </w:t>
      </w:r>
      <w:r w:rsidRPr="00BA247D">
        <w:rPr>
          <w:rFonts w:ascii="Times New Roman" w:hAnsi="Times New Roman" w:cs="Times New Roman"/>
          <w:b/>
          <w:sz w:val="16"/>
          <w:szCs w:val="16"/>
          <w:u w:val="single"/>
        </w:rPr>
        <w:t>autoridade fiscal</w:t>
      </w:r>
      <w:r w:rsidRPr="00BA247D">
        <w:rPr>
          <w:rFonts w:ascii="Times New Roman" w:hAnsi="Times New Roman" w:cs="Times New Roman"/>
          <w:sz w:val="16"/>
          <w:szCs w:val="16"/>
        </w:rPr>
        <w:t xml:space="preserve"> determinará a sua autuação sob a forma de processo administrativo tributário e </w:t>
      </w:r>
      <w:r w:rsidRPr="00BA247D">
        <w:rPr>
          <w:rFonts w:ascii="Times New Roman" w:hAnsi="Times New Roman" w:cs="Times New Roman"/>
          <w:b/>
          <w:sz w:val="16"/>
          <w:szCs w:val="16"/>
          <w:u w:val="single"/>
        </w:rPr>
        <w:t>informará</w:t>
      </w:r>
      <w:r w:rsidRPr="00BA247D">
        <w:rPr>
          <w:rFonts w:ascii="Times New Roman" w:hAnsi="Times New Roman" w:cs="Times New Roman"/>
          <w:sz w:val="16"/>
          <w:szCs w:val="16"/>
        </w:rPr>
        <w:t>:</w:t>
      </w:r>
    </w:p>
    <w:p w:rsidR="001203A0" w:rsidRPr="00BA247D" w:rsidRDefault="001203A0" w:rsidP="00AF79F6">
      <w:pPr>
        <w:spacing w:after="0" w:line="240" w:lineRule="au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BA247D">
        <w:rPr>
          <w:rFonts w:ascii="Times New Roman" w:hAnsi="Times New Roman" w:cs="Times New Roman"/>
          <w:sz w:val="16"/>
          <w:szCs w:val="16"/>
        </w:rPr>
        <w:t>I – se foi iniciada e ainda não concluída alguma fiscalização junto ao consulente;</w:t>
      </w:r>
    </w:p>
    <w:p w:rsidR="001203A0" w:rsidRPr="00BA247D" w:rsidRDefault="001203A0" w:rsidP="00AF79F6">
      <w:pPr>
        <w:spacing w:after="0" w:line="240" w:lineRule="auto"/>
        <w:ind w:right="-852"/>
        <w:jc w:val="both"/>
        <w:rPr>
          <w:sz w:val="16"/>
          <w:szCs w:val="16"/>
        </w:rPr>
      </w:pPr>
      <w:r w:rsidRPr="00BA247D">
        <w:rPr>
          <w:rFonts w:ascii="Times New Roman" w:hAnsi="Times New Roman" w:cs="Times New Roman"/>
          <w:sz w:val="16"/>
          <w:szCs w:val="16"/>
        </w:rPr>
        <w:t xml:space="preserve">II – se o consulente sofreu alguma autuação, ainda pendente de decisão final cujo fundamento esteja direta ou indiretamente relacionado às dúvidas suscitadas, juntando-se ao processo de consulta, em caso positivo, uma cópia do respectivo auto de </w:t>
      </w:r>
      <w:proofErr w:type="gramStart"/>
      <w:r w:rsidRPr="00BA247D">
        <w:rPr>
          <w:rFonts w:ascii="Times New Roman" w:hAnsi="Times New Roman" w:cs="Times New Roman"/>
          <w:sz w:val="16"/>
          <w:szCs w:val="16"/>
        </w:rPr>
        <w:t>infração.</w:t>
      </w:r>
      <w:proofErr w:type="gramEnd"/>
      <w:r w:rsidRPr="00BA247D">
        <w:rPr>
          <w:rFonts w:ascii="Times New Roman" w:hAnsi="Times New Roman" w:cs="Times New Roman"/>
          <w:sz w:val="16"/>
          <w:szCs w:val="16"/>
        </w:rPr>
        <w:t>”(grifos nossos)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6C" w:rsidRDefault="00EE2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1203A0" w:rsidRPr="002E7B20" w:rsidTr="007C1E37">
      <w:trPr>
        <w:cantSplit/>
        <w:trHeight w:val="1180"/>
      </w:trPr>
      <w:tc>
        <w:tcPr>
          <w:tcW w:w="6310" w:type="dxa"/>
        </w:tcPr>
        <w:p w:rsidR="001203A0" w:rsidRPr="002E7B20" w:rsidRDefault="001203A0" w:rsidP="007C1E37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F005C8B" wp14:editId="5BEB1F5B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03A0" w:rsidRPr="002E7B20" w:rsidRDefault="001203A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1203A0" w:rsidRPr="002E7B20" w:rsidRDefault="001203A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1203A0" w:rsidRPr="002E7B20" w:rsidRDefault="001203A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1203A0" w:rsidRPr="002E7B20" w:rsidRDefault="001203A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1203A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1203A0" w:rsidRPr="002E7B20" w:rsidRDefault="001203A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1203A0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1203A0" w:rsidRPr="000711A2" w:rsidRDefault="001203A0" w:rsidP="000711A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0711A2">
                  <w:rPr>
                    <w:rFonts w:ascii="Times New Roman" w:hAnsi="Times New Roman"/>
                    <w:sz w:val="20"/>
                  </w:rPr>
                  <w:t>Proc. E-04/058/56//2016</w:t>
                </w:r>
              </w:p>
            </w:tc>
          </w:tr>
          <w:tr w:rsidR="001203A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1203A0" w:rsidRPr="000711A2" w:rsidRDefault="001203A0" w:rsidP="000711A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0711A2">
                  <w:rPr>
                    <w:rFonts w:ascii="Times New Roman" w:hAnsi="Times New Roman"/>
                    <w:sz w:val="20"/>
                  </w:rPr>
                  <w:t>Data: 17/06/16</w:t>
                </w:r>
                <w:proofErr w:type="gramStart"/>
                <w:r w:rsidRPr="000711A2">
                  <w:rPr>
                    <w:rFonts w:ascii="Times New Roman" w:hAnsi="Times New Roman"/>
                    <w:sz w:val="20"/>
                  </w:rPr>
                  <w:t xml:space="preserve">  </w:t>
                </w:r>
                <w:proofErr w:type="gramEnd"/>
                <w:r w:rsidRPr="000711A2">
                  <w:rPr>
                    <w:rFonts w:ascii="Times New Roman" w:hAnsi="Times New Roman"/>
                    <w:sz w:val="20"/>
                  </w:rPr>
                  <w:t xml:space="preserve">–  Fls.: </w:t>
                </w:r>
                <w:r w:rsidRPr="000711A2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0711A2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Pr="000711A2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EE246C">
                  <w:rPr>
                    <w:rFonts w:ascii="Times New Roman" w:hAnsi="Times New Roman"/>
                    <w:noProof/>
                    <w:sz w:val="20"/>
                  </w:rPr>
                  <w:t>98</w:t>
                </w:r>
                <w:r w:rsidRPr="000711A2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1203A0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1203A0" w:rsidRPr="00462AC3" w:rsidRDefault="001203A0" w:rsidP="00EE246C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</w:t>
                </w:r>
                <w:bookmarkStart w:id="0" w:name="_GoBack"/>
                <w:bookmarkEnd w:id="0"/>
              </w:p>
            </w:tc>
          </w:tr>
        </w:tbl>
        <w:p w:rsidR="001203A0" w:rsidRPr="002E7B20" w:rsidRDefault="001203A0" w:rsidP="007C1E37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1203A0" w:rsidRPr="00462AC3" w:rsidRDefault="001203A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6C" w:rsidRDefault="00EE2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68A052CE"/>
    <w:lvl w:ilvl="0" w:tplc="07F22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7825C0"/>
    <w:multiLevelType w:val="hybridMultilevel"/>
    <w:tmpl w:val="D6807582"/>
    <w:lvl w:ilvl="0" w:tplc="1F1E05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46C0"/>
    <w:rsid w:val="0000495C"/>
    <w:rsid w:val="000055B0"/>
    <w:rsid w:val="000073A5"/>
    <w:rsid w:val="0002389A"/>
    <w:rsid w:val="000321ED"/>
    <w:rsid w:val="00050059"/>
    <w:rsid w:val="000630B7"/>
    <w:rsid w:val="000711A2"/>
    <w:rsid w:val="000731EE"/>
    <w:rsid w:val="0008336D"/>
    <w:rsid w:val="000A0A3E"/>
    <w:rsid w:val="000D6F55"/>
    <w:rsid w:val="000E1FB6"/>
    <w:rsid w:val="000E45AC"/>
    <w:rsid w:val="000F30B1"/>
    <w:rsid w:val="000F63EE"/>
    <w:rsid w:val="0010355B"/>
    <w:rsid w:val="001044CD"/>
    <w:rsid w:val="001203A0"/>
    <w:rsid w:val="0014427E"/>
    <w:rsid w:val="0014555C"/>
    <w:rsid w:val="00157300"/>
    <w:rsid w:val="0015743F"/>
    <w:rsid w:val="00166FDB"/>
    <w:rsid w:val="001760E5"/>
    <w:rsid w:val="0018764E"/>
    <w:rsid w:val="001949EA"/>
    <w:rsid w:val="001B5FEA"/>
    <w:rsid w:val="001C4751"/>
    <w:rsid w:val="001C7B3E"/>
    <w:rsid w:val="001E4F56"/>
    <w:rsid w:val="001F2A9E"/>
    <w:rsid w:val="001F309B"/>
    <w:rsid w:val="001F3F43"/>
    <w:rsid w:val="001F3FEB"/>
    <w:rsid w:val="001F7132"/>
    <w:rsid w:val="00210225"/>
    <w:rsid w:val="002124DC"/>
    <w:rsid w:val="002200F3"/>
    <w:rsid w:val="00233665"/>
    <w:rsid w:val="00235259"/>
    <w:rsid w:val="002436D8"/>
    <w:rsid w:val="00245745"/>
    <w:rsid w:val="00251988"/>
    <w:rsid w:val="00253080"/>
    <w:rsid w:val="00265632"/>
    <w:rsid w:val="002712D7"/>
    <w:rsid w:val="0028490E"/>
    <w:rsid w:val="00286428"/>
    <w:rsid w:val="00296DAB"/>
    <w:rsid w:val="002A2B23"/>
    <w:rsid w:val="002A635B"/>
    <w:rsid w:val="002A6A4E"/>
    <w:rsid w:val="002B25A7"/>
    <w:rsid w:val="002B5885"/>
    <w:rsid w:val="002C4BC7"/>
    <w:rsid w:val="002E46D5"/>
    <w:rsid w:val="002F3EAF"/>
    <w:rsid w:val="002F5AAC"/>
    <w:rsid w:val="00300997"/>
    <w:rsid w:val="0031172C"/>
    <w:rsid w:val="00312AE2"/>
    <w:rsid w:val="003453A9"/>
    <w:rsid w:val="0035322A"/>
    <w:rsid w:val="00355B36"/>
    <w:rsid w:val="00360C1E"/>
    <w:rsid w:val="0036656D"/>
    <w:rsid w:val="00367491"/>
    <w:rsid w:val="00370985"/>
    <w:rsid w:val="003B7F04"/>
    <w:rsid w:val="003C3FF2"/>
    <w:rsid w:val="003D2B5B"/>
    <w:rsid w:val="003D672A"/>
    <w:rsid w:val="003E2C18"/>
    <w:rsid w:val="003E5502"/>
    <w:rsid w:val="003E5ED9"/>
    <w:rsid w:val="003F6B1A"/>
    <w:rsid w:val="00411549"/>
    <w:rsid w:val="00423EF2"/>
    <w:rsid w:val="004241D0"/>
    <w:rsid w:val="00454EA1"/>
    <w:rsid w:val="00455FAC"/>
    <w:rsid w:val="00462AC3"/>
    <w:rsid w:val="004630EC"/>
    <w:rsid w:val="00480304"/>
    <w:rsid w:val="00481E33"/>
    <w:rsid w:val="00481F61"/>
    <w:rsid w:val="004825AF"/>
    <w:rsid w:val="00482C57"/>
    <w:rsid w:val="00483017"/>
    <w:rsid w:val="004A02C8"/>
    <w:rsid w:val="004C1EB5"/>
    <w:rsid w:val="004D0504"/>
    <w:rsid w:val="004D3BD9"/>
    <w:rsid w:val="004D4212"/>
    <w:rsid w:val="004E2759"/>
    <w:rsid w:val="004E4CBC"/>
    <w:rsid w:val="004F1689"/>
    <w:rsid w:val="0050170C"/>
    <w:rsid w:val="00507B2F"/>
    <w:rsid w:val="005220FC"/>
    <w:rsid w:val="005333BB"/>
    <w:rsid w:val="00542EA5"/>
    <w:rsid w:val="00546250"/>
    <w:rsid w:val="00546EC0"/>
    <w:rsid w:val="00555312"/>
    <w:rsid w:val="005578E8"/>
    <w:rsid w:val="005707CA"/>
    <w:rsid w:val="00584587"/>
    <w:rsid w:val="005860DD"/>
    <w:rsid w:val="0059185E"/>
    <w:rsid w:val="005A37D1"/>
    <w:rsid w:val="005A6F87"/>
    <w:rsid w:val="005B395F"/>
    <w:rsid w:val="005C5FC9"/>
    <w:rsid w:val="005C7703"/>
    <w:rsid w:val="005D0D17"/>
    <w:rsid w:val="005D2324"/>
    <w:rsid w:val="005E14DA"/>
    <w:rsid w:val="005E7A38"/>
    <w:rsid w:val="005F26B5"/>
    <w:rsid w:val="005F47B6"/>
    <w:rsid w:val="005F55C3"/>
    <w:rsid w:val="00600951"/>
    <w:rsid w:val="00602B62"/>
    <w:rsid w:val="00610C52"/>
    <w:rsid w:val="0065393E"/>
    <w:rsid w:val="00654C1A"/>
    <w:rsid w:val="006566E0"/>
    <w:rsid w:val="006637B6"/>
    <w:rsid w:val="0066751B"/>
    <w:rsid w:val="00681357"/>
    <w:rsid w:val="006A2586"/>
    <w:rsid w:val="006A270F"/>
    <w:rsid w:val="006B2700"/>
    <w:rsid w:val="006E73A4"/>
    <w:rsid w:val="006F06F0"/>
    <w:rsid w:val="006F7509"/>
    <w:rsid w:val="00726A29"/>
    <w:rsid w:val="0074027D"/>
    <w:rsid w:val="0075364B"/>
    <w:rsid w:val="00757BC2"/>
    <w:rsid w:val="007637EC"/>
    <w:rsid w:val="00773AC1"/>
    <w:rsid w:val="00783FC6"/>
    <w:rsid w:val="00784FE7"/>
    <w:rsid w:val="007867AB"/>
    <w:rsid w:val="007A3336"/>
    <w:rsid w:val="007C1E37"/>
    <w:rsid w:val="007C6201"/>
    <w:rsid w:val="007D0DDF"/>
    <w:rsid w:val="007E33A3"/>
    <w:rsid w:val="007F4989"/>
    <w:rsid w:val="00801B94"/>
    <w:rsid w:val="00805A34"/>
    <w:rsid w:val="00820383"/>
    <w:rsid w:val="00825D6E"/>
    <w:rsid w:val="00844E38"/>
    <w:rsid w:val="008526FA"/>
    <w:rsid w:val="0086396B"/>
    <w:rsid w:val="00872CED"/>
    <w:rsid w:val="0089032B"/>
    <w:rsid w:val="008B1870"/>
    <w:rsid w:val="008B2817"/>
    <w:rsid w:val="008D4306"/>
    <w:rsid w:val="008D4B48"/>
    <w:rsid w:val="008E30A1"/>
    <w:rsid w:val="008F3D1E"/>
    <w:rsid w:val="008F716D"/>
    <w:rsid w:val="009110AD"/>
    <w:rsid w:val="0093290E"/>
    <w:rsid w:val="00934E4E"/>
    <w:rsid w:val="009370B7"/>
    <w:rsid w:val="00946B4C"/>
    <w:rsid w:val="00951E1D"/>
    <w:rsid w:val="00986450"/>
    <w:rsid w:val="00987CE9"/>
    <w:rsid w:val="00994540"/>
    <w:rsid w:val="009A4E8D"/>
    <w:rsid w:val="009A6059"/>
    <w:rsid w:val="009C2B3E"/>
    <w:rsid w:val="009C52C7"/>
    <w:rsid w:val="009D1501"/>
    <w:rsid w:val="009D169F"/>
    <w:rsid w:val="009E2E6B"/>
    <w:rsid w:val="009F2094"/>
    <w:rsid w:val="009F6AAA"/>
    <w:rsid w:val="009F7DF5"/>
    <w:rsid w:val="00A02CE3"/>
    <w:rsid w:val="00A054C6"/>
    <w:rsid w:val="00A27902"/>
    <w:rsid w:val="00A30CE6"/>
    <w:rsid w:val="00A364D8"/>
    <w:rsid w:val="00A6441D"/>
    <w:rsid w:val="00A73790"/>
    <w:rsid w:val="00A73B7E"/>
    <w:rsid w:val="00A73F56"/>
    <w:rsid w:val="00A75A0C"/>
    <w:rsid w:val="00A947E0"/>
    <w:rsid w:val="00A96E2D"/>
    <w:rsid w:val="00AD3421"/>
    <w:rsid w:val="00AD363A"/>
    <w:rsid w:val="00AD3B79"/>
    <w:rsid w:val="00AE7704"/>
    <w:rsid w:val="00AF79F6"/>
    <w:rsid w:val="00B04388"/>
    <w:rsid w:val="00B05D9A"/>
    <w:rsid w:val="00B17C26"/>
    <w:rsid w:val="00B17EFE"/>
    <w:rsid w:val="00B27C17"/>
    <w:rsid w:val="00B4364F"/>
    <w:rsid w:val="00B44136"/>
    <w:rsid w:val="00B45593"/>
    <w:rsid w:val="00B5604B"/>
    <w:rsid w:val="00B6462F"/>
    <w:rsid w:val="00B90389"/>
    <w:rsid w:val="00B9235C"/>
    <w:rsid w:val="00B92B37"/>
    <w:rsid w:val="00B92C65"/>
    <w:rsid w:val="00B9491F"/>
    <w:rsid w:val="00B95528"/>
    <w:rsid w:val="00B960E7"/>
    <w:rsid w:val="00B96A9A"/>
    <w:rsid w:val="00BA247D"/>
    <w:rsid w:val="00BA75E4"/>
    <w:rsid w:val="00BB3420"/>
    <w:rsid w:val="00BD7101"/>
    <w:rsid w:val="00BE2F92"/>
    <w:rsid w:val="00BE4E42"/>
    <w:rsid w:val="00BF094E"/>
    <w:rsid w:val="00BF4B3C"/>
    <w:rsid w:val="00C0527F"/>
    <w:rsid w:val="00C156F7"/>
    <w:rsid w:val="00C225D1"/>
    <w:rsid w:val="00C227A4"/>
    <w:rsid w:val="00C244E5"/>
    <w:rsid w:val="00C266EE"/>
    <w:rsid w:val="00C37F6F"/>
    <w:rsid w:val="00C50939"/>
    <w:rsid w:val="00C62E9B"/>
    <w:rsid w:val="00C660AA"/>
    <w:rsid w:val="00C90806"/>
    <w:rsid w:val="00CA5CAF"/>
    <w:rsid w:val="00CB230E"/>
    <w:rsid w:val="00CB38E5"/>
    <w:rsid w:val="00CD222C"/>
    <w:rsid w:val="00CE0017"/>
    <w:rsid w:val="00CE08DC"/>
    <w:rsid w:val="00CE2D21"/>
    <w:rsid w:val="00CE3893"/>
    <w:rsid w:val="00CE468D"/>
    <w:rsid w:val="00D13A70"/>
    <w:rsid w:val="00D2264A"/>
    <w:rsid w:val="00D26457"/>
    <w:rsid w:val="00D32712"/>
    <w:rsid w:val="00D53045"/>
    <w:rsid w:val="00D61D25"/>
    <w:rsid w:val="00D61FED"/>
    <w:rsid w:val="00D6210A"/>
    <w:rsid w:val="00D66A0B"/>
    <w:rsid w:val="00D70157"/>
    <w:rsid w:val="00D75E45"/>
    <w:rsid w:val="00D82E9B"/>
    <w:rsid w:val="00D910B7"/>
    <w:rsid w:val="00D92DE8"/>
    <w:rsid w:val="00DD1ACA"/>
    <w:rsid w:val="00DD30B2"/>
    <w:rsid w:val="00DE4DCC"/>
    <w:rsid w:val="00DF4268"/>
    <w:rsid w:val="00DF4E9C"/>
    <w:rsid w:val="00DF7D22"/>
    <w:rsid w:val="00E00F28"/>
    <w:rsid w:val="00E01F2A"/>
    <w:rsid w:val="00E206E1"/>
    <w:rsid w:val="00E21488"/>
    <w:rsid w:val="00E31072"/>
    <w:rsid w:val="00E33B18"/>
    <w:rsid w:val="00E4634E"/>
    <w:rsid w:val="00E5166F"/>
    <w:rsid w:val="00E52281"/>
    <w:rsid w:val="00E56646"/>
    <w:rsid w:val="00EC2BC5"/>
    <w:rsid w:val="00EC6B66"/>
    <w:rsid w:val="00ED11CA"/>
    <w:rsid w:val="00ED5C7B"/>
    <w:rsid w:val="00EE246C"/>
    <w:rsid w:val="00EE3A31"/>
    <w:rsid w:val="00F13D78"/>
    <w:rsid w:val="00F42B37"/>
    <w:rsid w:val="00F43CA6"/>
    <w:rsid w:val="00F53B8C"/>
    <w:rsid w:val="00F616AF"/>
    <w:rsid w:val="00F644C2"/>
    <w:rsid w:val="00F6473B"/>
    <w:rsid w:val="00F70DDD"/>
    <w:rsid w:val="00F73AEB"/>
    <w:rsid w:val="00F81ECB"/>
    <w:rsid w:val="00F82F70"/>
    <w:rsid w:val="00F836A6"/>
    <w:rsid w:val="00F85829"/>
    <w:rsid w:val="00F91D29"/>
    <w:rsid w:val="00F968E2"/>
    <w:rsid w:val="00FA1604"/>
    <w:rsid w:val="00FE2C74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2C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2C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2C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2C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2C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2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CF2E-B2AD-4425-BFC0-2B45F50C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8</Pages>
  <Words>2537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47</cp:revision>
  <cp:lastPrinted>2016-06-20T18:15:00Z</cp:lastPrinted>
  <dcterms:created xsi:type="dcterms:W3CDTF">2016-05-17T18:51:00Z</dcterms:created>
  <dcterms:modified xsi:type="dcterms:W3CDTF">2016-07-26T19:14:00Z</dcterms:modified>
</cp:coreProperties>
</file>