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4" w:type="dxa"/>
        <w:tblLayout w:type="fixed"/>
        <w:tblCellMar>
          <w:left w:w="70" w:type="dxa"/>
          <w:right w:w="70" w:type="dxa"/>
        </w:tblCellMar>
        <w:tblLook w:val="0000" w:firstRow="0" w:lastRow="0" w:firstColumn="0" w:lastColumn="0" w:noHBand="0" w:noVBand="0"/>
      </w:tblPr>
      <w:tblGrid>
        <w:gridCol w:w="1488"/>
        <w:gridCol w:w="180"/>
        <w:gridCol w:w="8006"/>
      </w:tblGrid>
      <w:tr w:rsidR="00737AF7" w:rsidRPr="0002447A" w:rsidTr="00B977BE">
        <w:tc>
          <w:tcPr>
            <w:tcW w:w="1488" w:type="dxa"/>
          </w:tcPr>
          <w:p w:rsidR="00737AF7" w:rsidRPr="0002447A" w:rsidRDefault="00737AF7" w:rsidP="00B977BE">
            <w:pPr>
              <w:ind w:right="-34"/>
              <w:rPr>
                <w:b/>
                <w:bCs/>
                <w:smallCaps/>
                <w:sz w:val="22"/>
                <w:szCs w:val="22"/>
              </w:rPr>
            </w:pPr>
            <w:bookmarkStart w:id="0" w:name="_GoBack"/>
            <w:bookmarkEnd w:id="0"/>
            <w:r>
              <w:rPr>
                <w:b/>
                <w:bCs/>
                <w:smallCaps/>
                <w:sz w:val="22"/>
                <w:szCs w:val="22"/>
              </w:rPr>
              <w:t>Assunto</w:t>
            </w:r>
          </w:p>
        </w:tc>
        <w:tc>
          <w:tcPr>
            <w:tcW w:w="180" w:type="dxa"/>
          </w:tcPr>
          <w:p w:rsidR="00737AF7" w:rsidRPr="0002447A" w:rsidRDefault="00737AF7" w:rsidP="00B977BE">
            <w:pPr>
              <w:rPr>
                <w:b/>
                <w:bCs/>
                <w:smallCaps/>
                <w:sz w:val="22"/>
                <w:szCs w:val="22"/>
              </w:rPr>
            </w:pPr>
            <w:r>
              <w:rPr>
                <w:b/>
                <w:bCs/>
                <w:smallCaps/>
                <w:sz w:val="22"/>
                <w:szCs w:val="22"/>
              </w:rPr>
              <w:t>:</w:t>
            </w:r>
          </w:p>
        </w:tc>
        <w:tc>
          <w:tcPr>
            <w:tcW w:w="8006" w:type="dxa"/>
          </w:tcPr>
          <w:p w:rsidR="00737AF7" w:rsidRPr="0002447A" w:rsidRDefault="00263D8B" w:rsidP="00737AF7">
            <w:pPr>
              <w:tabs>
                <w:tab w:val="left" w:pos="7516"/>
              </w:tabs>
              <w:ind w:right="462"/>
              <w:rPr>
                <w:b/>
                <w:smallCaps/>
                <w:sz w:val="22"/>
                <w:szCs w:val="22"/>
              </w:rPr>
            </w:pPr>
            <w:r>
              <w:rPr>
                <w:b/>
                <w:smallCaps/>
                <w:sz w:val="22"/>
                <w:szCs w:val="22"/>
              </w:rPr>
              <w:t>FEEF</w:t>
            </w:r>
            <w:r w:rsidR="00BF0AF1">
              <w:rPr>
                <w:b/>
                <w:smallCaps/>
                <w:sz w:val="22"/>
                <w:szCs w:val="22"/>
              </w:rPr>
              <w:t xml:space="preserve"> - </w:t>
            </w:r>
            <w:r w:rsidR="00BF0AF1" w:rsidRPr="00BF0AF1">
              <w:rPr>
                <w:b/>
                <w:sz w:val="22"/>
                <w:szCs w:val="22"/>
              </w:rPr>
              <w:t>crédito presumido concedido pela Lei nº 7.036/15</w:t>
            </w:r>
            <w:r w:rsidR="008F7AC2">
              <w:rPr>
                <w:b/>
                <w:sz w:val="22"/>
                <w:szCs w:val="22"/>
              </w:rPr>
              <w:t xml:space="preserve"> deve ser </w:t>
            </w:r>
            <w:r w:rsidR="00BF0AF1" w:rsidRPr="00BF0AF1">
              <w:rPr>
                <w:b/>
                <w:sz w:val="22"/>
                <w:szCs w:val="22"/>
              </w:rPr>
              <w:t>considerado no cálculo do FEEF</w:t>
            </w:r>
          </w:p>
        </w:tc>
      </w:tr>
    </w:tbl>
    <w:p w:rsidR="008F7AC2" w:rsidRDefault="008F7AC2" w:rsidP="00B977BE">
      <w:pPr>
        <w:tabs>
          <w:tab w:val="left" w:pos="9214"/>
        </w:tabs>
        <w:ind w:right="-285" w:firstLine="360"/>
        <w:jc w:val="right"/>
        <w:rPr>
          <w:b/>
          <w:smallCaps/>
          <w:sz w:val="22"/>
          <w:szCs w:val="22"/>
        </w:rPr>
      </w:pPr>
    </w:p>
    <w:p w:rsidR="00B977BE" w:rsidRPr="0002447A" w:rsidRDefault="00B977BE" w:rsidP="00B977BE">
      <w:pPr>
        <w:tabs>
          <w:tab w:val="left" w:pos="9214"/>
        </w:tabs>
        <w:ind w:right="-285" w:firstLine="360"/>
        <w:jc w:val="right"/>
        <w:rPr>
          <w:b/>
          <w:smallCaps/>
          <w:sz w:val="22"/>
          <w:szCs w:val="22"/>
        </w:rPr>
      </w:pPr>
      <w:r w:rsidRPr="0002447A">
        <w:rPr>
          <w:b/>
          <w:smallCaps/>
          <w:sz w:val="22"/>
          <w:szCs w:val="22"/>
        </w:rPr>
        <w:t xml:space="preserve">Consulta nº  </w:t>
      </w:r>
      <w:r w:rsidR="00263D8B">
        <w:rPr>
          <w:b/>
          <w:smallCaps/>
          <w:sz w:val="22"/>
          <w:szCs w:val="22"/>
        </w:rPr>
        <w:t xml:space="preserve">     </w:t>
      </w:r>
      <w:r w:rsidR="006F11DA">
        <w:rPr>
          <w:b/>
          <w:smallCaps/>
          <w:sz w:val="22"/>
          <w:szCs w:val="22"/>
        </w:rPr>
        <w:t>062</w:t>
      </w:r>
      <w:r w:rsidRPr="0002447A">
        <w:rPr>
          <w:b/>
          <w:smallCaps/>
          <w:sz w:val="22"/>
          <w:szCs w:val="22"/>
        </w:rPr>
        <w:t>/2017</w:t>
      </w:r>
    </w:p>
    <w:p w:rsidR="00B977BE" w:rsidRDefault="00B977BE" w:rsidP="00B977BE">
      <w:pPr>
        <w:tabs>
          <w:tab w:val="left" w:pos="9214"/>
        </w:tabs>
        <w:ind w:right="-285" w:firstLine="360"/>
        <w:jc w:val="right"/>
        <w:rPr>
          <w:b/>
          <w:smallCaps/>
          <w:sz w:val="22"/>
          <w:szCs w:val="22"/>
        </w:rPr>
      </w:pPr>
    </w:p>
    <w:p w:rsidR="00901E1A" w:rsidRPr="0002447A" w:rsidRDefault="00901E1A" w:rsidP="00B977BE">
      <w:pPr>
        <w:tabs>
          <w:tab w:val="left" w:pos="9214"/>
        </w:tabs>
        <w:ind w:right="-285" w:firstLine="360"/>
        <w:jc w:val="right"/>
        <w:rPr>
          <w:b/>
          <w:smallCaps/>
          <w:sz w:val="22"/>
          <w:szCs w:val="22"/>
        </w:rPr>
      </w:pPr>
    </w:p>
    <w:p w:rsidR="00D564DF" w:rsidRPr="0002447A" w:rsidRDefault="00D564DF" w:rsidP="00B02718">
      <w:pPr>
        <w:tabs>
          <w:tab w:val="left" w:pos="9214"/>
        </w:tabs>
        <w:ind w:right="-285" w:firstLine="360"/>
        <w:rPr>
          <w:b/>
          <w:smallCaps/>
          <w:sz w:val="22"/>
          <w:szCs w:val="22"/>
        </w:rPr>
      </w:pPr>
    </w:p>
    <w:p w:rsidR="00276CC8" w:rsidRPr="0002447A" w:rsidRDefault="00276CC8" w:rsidP="00B02718">
      <w:pPr>
        <w:tabs>
          <w:tab w:val="left" w:pos="9214"/>
        </w:tabs>
        <w:ind w:right="-285" w:firstLine="360"/>
        <w:rPr>
          <w:b/>
          <w:smallCaps/>
          <w:sz w:val="22"/>
          <w:szCs w:val="22"/>
        </w:rPr>
      </w:pPr>
      <w:r w:rsidRPr="0002447A">
        <w:rPr>
          <w:b/>
          <w:smallCaps/>
          <w:sz w:val="22"/>
          <w:szCs w:val="22"/>
        </w:rPr>
        <w:t>I – Relatório:</w:t>
      </w:r>
    </w:p>
    <w:p w:rsidR="00276CC8" w:rsidRPr="0002447A" w:rsidRDefault="00276CC8" w:rsidP="00B02718">
      <w:pPr>
        <w:tabs>
          <w:tab w:val="left" w:pos="9214"/>
        </w:tabs>
        <w:ind w:right="-285" w:firstLine="360"/>
        <w:rPr>
          <w:b/>
          <w:smallCaps/>
          <w:sz w:val="22"/>
          <w:szCs w:val="22"/>
        </w:rPr>
      </w:pPr>
    </w:p>
    <w:p w:rsidR="00F70367" w:rsidRDefault="00222294" w:rsidP="00737AF7">
      <w:pPr>
        <w:tabs>
          <w:tab w:val="left" w:pos="9214"/>
        </w:tabs>
        <w:ind w:right="-568" w:firstLine="360"/>
        <w:rPr>
          <w:sz w:val="22"/>
          <w:szCs w:val="22"/>
        </w:rPr>
      </w:pPr>
      <w:r w:rsidRPr="0002447A">
        <w:rPr>
          <w:sz w:val="22"/>
          <w:szCs w:val="22"/>
        </w:rPr>
        <w:t>A e</w:t>
      </w:r>
      <w:r w:rsidR="003A2D67" w:rsidRPr="0002447A">
        <w:rPr>
          <w:sz w:val="22"/>
          <w:szCs w:val="22"/>
        </w:rPr>
        <w:t>mpresa consulente atua no setor de telecomunicação e</w:t>
      </w:r>
      <w:r w:rsidR="00263D8B">
        <w:rPr>
          <w:sz w:val="22"/>
          <w:szCs w:val="22"/>
        </w:rPr>
        <w:t>,</w:t>
      </w:r>
      <w:r w:rsidR="003A2D67" w:rsidRPr="0002447A">
        <w:rPr>
          <w:sz w:val="22"/>
          <w:szCs w:val="22"/>
        </w:rPr>
        <w:t xml:space="preserve"> </w:t>
      </w:r>
      <w:r w:rsidR="00263D8B">
        <w:rPr>
          <w:sz w:val="22"/>
          <w:szCs w:val="22"/>
        </w:rPr>
        <w:t>com exceção do</w:t>
      </w:r>
      <w:r w:rsidR="003A2D67" w:rsidRPr="0002447A">
        <w:rPr>
          <w:sz w:val="22"/>
          <w:szCs w:val="22"/>
        </w:rPr>
        <w:t xml:space="preserve"> serviço de televisão por assinatura (NET), apura</w:t>
      </w:r>
      <w:r w:rsidR="00263D8B">
        <w:rPr>
          <w:sz w:val="22"/>
          <w:szCs w:val="22"/>
        </w:rPr>
        <w:t xml:space="preserve"> </w:t>
      </w:r>
      <w:r w:rsidR="003A2D67" w:rsidRPr="0002447A">
        <w:rPr>
          <w:sz w:val="22"/>
          <w:szCs w:val="22"/>
        </w:rPr>
        <w:t xml:space="preserve">o ICMS </w:t>
      </w:r>
      <w:r w:rsidR="00263D8B">
        <w:rPr>
          <w:sz w:val="22"/>
          <w:szCs w:val="22"/>
        </w:rPr>
        <w:t>pelo regime normal de confronto entre débitos e créditos</w:t>
      </w:r>
      <w:r w:rsidR="00EE634D">
        <w:rPr>
          <w:sz w:val="22"/>
          <w:szCs w:val="22"/>
        </w:rPr>
        <w:t>, expõe o que se segue:</w:t>
      </w:r>
      <w:r w:rsidR="00276CC8" w:rsidRPr="0002447A">
        <w:rPr>
          <w:sz w:val="22"/>
          <w:szCs w:val="22"/>
        </w:rPr>
        <w:t xml:space="preserve"> </w:t>
      </w:r>
    </w:p>
    <w:p w:rsidR="00263D8B" w:rsidRDefault="00263D8B" w:rsidP="00737AF7">
      <w:pPr>
        <w:tabs>
          <w:tab w:val="left" w:pos="9214"/>
        </w:tabs>
        <w:ind w:right="-568" w:firstLine="360"/>
        <w:rPr>
          <w:sz w:val="22"/>
          <w:szCs w:val="22"/>
        </w:rPr>
      </w:pPr>
    </w:p>
    <w:p w:rsidR="00263D8B" w:rsidRPr="0002447A" w:rsidRDefault="00263D8B" w:rsidP="00737AF7">
      <w:pPr>
        <w:tabs>
          <w:tab w:val="left" w:pos="9214"/>
        </w:tabs>
        <w:ind w:right="-568" w:firstLine="360"/>
        <w:rPr>
          <w:sz w:val="22"/>
          <w:szCs w:val="22"/>
        </w:rPr>
      </w:pPr>
      <w:r>
        <w:rPr>
          <w:sz w:val="22"/>
          <w:szCs w:val="22"/>
        </w:rPr>
        <w:t xml:space="preserve">A Lei nº 7.036 de </w:t>
      </w:r>
      <w:r w:rsidR="00E1763C">
        <w:rPr>
          <w:sz w:val="22"/>
          <w:szCs w:val="22"/>
        </w:rPr>
        <w:t>7</w:t>
      </w:r>
      <w:r>
        <w:rPr>
          <w:sz w:val="22"/>
          <w:szCs w:val="22"/>
        </w:rPr>
        <w:t xml:space="preserve"> de julho de 2015 </w:t>
      </w:r>
      <w:r w:rsidRPr="00263D8B">
        <w:rPr>
          <w:sz w:val="22"/>
          <w:szCs w:val="22"/>
        </w:rPr>
        <w:t>conce</w:t>
      </w:r>
      <w:r>
        <w:rPr>
          <w:sz w:val="22"/>
          <w:szCs w:val="22"/>
        </w:rPr>
        <w:t>deu</w:t>
      </w:r>
      <w:r w:rsidRPr="00263D8B">
        <w:rPr>
          <w:sz w:val="22"/>
          <w:szCs w:val="22"/>
        </w:rPr>
        <w:t xml:space="preserve"> incentivos fiscais para a realização de aportes de recursos voltados à realização dos Jogos Olímpicos e Paralímpicos de 2016</w:t>
      </w:r>
      <w:r>
        <w:rPr>
          <w:sz w:val="22"/>
          <w:szCs w:val="22"/>
        </w:rPr>
        <w:t>. Nos termos do § 2º do art. 1º da referida lei, “</w:t>
      </w:r>
      <w:r w:rsidRPr="00263D8B">
        <w:rPr>
          <w:i/>
          <w:sz w:val="22"/>
          <w:szCs w:val="22"/>
        </w:rPr>
        <w:t>o valor do incentivo fiscal de que trata o caput deste artigo corresponde ao aporte de recursos pelo contribuinte no apoio direto a projetos relacionados aos Jogos Olímpicos e Paralímpicos de 2016, bem como aos respectivos eventos-teste.”</w:t>
      </w:r>
      <w:r>
        <w:rPr>
          <w:i/>
          <w:sz w:val="22"/>
          <w:szCs w:val="22"/>
        </w:rPr>
        <w:t>.</w:t>
      </w:r>
    </w:p>
    <w:p w:rsidR="003A2D67" w:rsidRDefault="003A2D67" w:rsidP="00737AF7">
      <w:pPr>
        <w:tabs>
          <w:tab w:val="left" w:pos="9214"/>
        </w:tabs>
        <w:ind w:right="-568" w:firstLine="360"/>
        <w:rPr>
          <w:sz w:val="22"/>
          <w:szCs w:val="22"/>
        </w:rPr>
      </w:pPr>
    </w:p>
    <w:p w:rsidR="00263D8B" w:rsidRDefault="00263D8B" w:rsidP="00737AF7">
      <w:pPr>
        <w:tabs>
          <w:tab w:val="left" w:pos="9214"/>
        </w:tabs>
        <w:ind w:right="-568" w:firstLine="360"/>
        <w:rPr>
          <w:sz w:val="22"/>
          <w:szCs w:val="22"/>
        </w:rPr>
      </w:pPr>
      <w:r>
        <w:rPr>
          <w:sz w:val="22"/>
          <w:szCs w:val="22"/>
        </w:rPr>
        <w:t>Igualmente, a Lei nº 7.218</w:t>
      </w:r>
      <w:r w:rsidR="00437660">
        <w:rPr>
          <w:sz w:val="22"/>
          <w:szCs w:val="22"/>
        </w:rPr>
        <w:t>,</w:t>
      </w:r>
      <w:r>
        <w:rPr>
          <w:sz w:val="22"/>
          <w:szCs w:val="22"/>
        </w:rPr>
        <w:t xml:space="preserve"> de 24 de fevereiro de 2016</w:t>
      </w:r>
      <w:r w:rsidR="00437660">
        <w:rPr>
          <w:sz w:val="22"/>
          <w:szCs w:val="22"/>
        </w:rPr>
        <w:t>,</w:t>
      </w:r>
      <w:r>
        <w:rPr>
          <w:sz w:val="22"/>
          <w:szCs w:val="22"/>
        </w:rPr>
        <w:t xml:space="preserve"> </w:t>
      </w:r>
      <w:r w:rsidRPr="00263D8B">
        <w:rPr>
          <w:sz w:val="22"/>
          <w:szCs w:val="22"/>
        </w:rPr>
        <w:t>conce</w:t>
      </w:r>
      <w:r>
        <w:rPr>
          <w:sz w:val="22"/>
          <w:szCs w:val="22"/>
        </w:rPr>
        <w:t>deu</w:t>
      </w:r>
      <w:r w:rsidRPr="00263D8B">
        <w:rPr>
          <w:sz w:val="22"/>
          <w:szCs w:val="22"/>
        </w:rPr>
        <w:t xml:space="preserve"> </w:t>
      </w:r>
      <w:r w:rsidR="00E1763C">
        <w:rPr>
          <w:sz w:val="22"/>
          <w:szCs w:val="22"/>
        </w:rPr>
        <w:t xml:space="preserve">os </w:t>
      </w:r>
      <w:r w:rsidRPr="00263D8B">
        <w:rPr>
          <w:sz w:val="22"/>
          <w:szCs w:val="22"/>
        </w:rPr>
        <w:t xml:space="preserve">incentivos fiscais de que trata a </w:t>
      </w:r>
      <w:r w:rsidR="00E1763C" w:rsidRPr="00263D8B">
        <w:rPr>
          <w:sz w:val="22"/>
          <w:szCs w:val="22"/>
        </w:rPr>
        <w:t xml:space="preserve">Lei </w:t>
      </w:r>
      <w:r w:rsidRPr="00263D8B">
        <w:rPr>
          <w:sz w:val="22"/>
          <w:szCs w:val="22"/>
        </w:rPr>
        <w:t>nº 7</w:t>
      </w:r>
      <w:r w:rsidR="00E1763C">
        <w:rPr>
          <w:sz w:val="22"/>
          <w:szCs w:val="22"/>
        </w:rPr>
        <w:t>.</w:t>
      </w:r>
      <w:r w:rsidRPr="00263D8B">
        <w:rPr>
          <w:sz w:val="22"/>
          <w:szCs w:val="22"/>
        </w:rPr>
        <w:t xml:space="preserve">036/15, de 7 de julho de 2015, para aportes de recursos voltados à realização de obras e serviços necessários ao fornecimento de energia elétrica temporária para os </w:t>
      </w:r>
      <w:r w:rsidR="00E1763C" w:rsidRPr="00263D8B">
        <w:rPr>
          <w:sz w:val="22"/>
          <w:szCs w:val="22"/>
        </w:rPr>
        <w:t xml:space="preserve">Jogos Olímpicos </w:t>
      </w:r>
      <w:r w:rsidRPr="00263D8B">
        <w:rPr>
          <w:sz w:val="22"/>
          <w:szCs w:val="22"/>
        </w:rPr>
        <w:t xml:space="preserve">e </w:t>
      </w:r>
      <w:r w:rsidR="00E1763C" w:rsidRPr="00263D8B">
        <w:rPr>
          <w:sz w:val="22"/>
          <w:szCs w:val="22"/>
        </w:rPr>
        <w:t xml:space="preserve">Paralímpicos </w:t>
      </w:r>
      <w:r w:rsidRPr="00263D8B">
        <w:rPr>
          <w:sz w:val="22"/>
          <w:szCs w:val="22"/>
        </w:rPr>
        <w:t>de 2016</w:t>
      </w:r>
      <w:r w:rsidR="00E1763C">
        <w:rPr>
          <w:sz w:val="22"/>
          <w:szCs w:val="22"/>
        </w:rPr>
        <w:t>.</w:t>
      </w:r>
    </w:p>
    <w:p w:rsidR="00263D8B" w:rsidRPr="0002447A" w:rsidRDefault="00263D8B" w:rsidP="00737AF7">
      <w:pPr>
        <w:tabs>
          <w:tab w:val="left" w:pos="9214"/>
        </w:tabs>
        <w:ind w:right="-568" w:firstLine="360"/>
        <w:rPr>
          <w:sz w:val="22"/>
          <w:szCs w:val="22"/>
        </w:rPr>
      </w:pPr>
    </w:p>
    <w:p w:rsidR="00A64BBD" w:rsidRDefault="00E1763C" w:rsidP="00737AF7">
      <w:pPr>
        <w:tabs>
          <w:tab w:val="left" w:pos="9214"/>
        </w:tabs>
        <w:ind w:right="-568" w:firstLine="360"/>
        <w:rPr>
          <w:sz w:val="22"/>
          <w:szCs w:val="22"/>
        </w:rPr>
      </w:pPr>
      <w:r>
        <w:rPr>
          <w:sz w:val="22"/>
          <w:szCs w:val="22"/>
        </w:rPr>
        <w:t xml:space="preserve">Os referidos incentivos fiscais instituíram a sistemática de quitação pelo contribuinte de compromissos assumidos pelo Estado do Rio de Janeiro e aproveitamento do montante </w:t>
      </w:r>
      <w:r w:rsidR="00437660">
        <w:rPr>
          <w:sz w:val="22"/>
          <w:szCs w:val="22"/>
        </w:rPr>
        <w:t xml:space="preserve">gasto </w:t>
      </w:r>
      <w:r>
        <w:rPr>
          <w:sz w:val="22"/>
          <w:szCs w:val="22"/>
        </w:rPr>
        <w:t>na apuração do imposto, mediante compensação de créditos, como forma de pagamento dos valores dispendidos pelo contribuinte.</w:t>
      </w:r>
    </w:p>
    <w:p w:rsidR="00E1763C" w:rsidRDefault="00E1763C" w:rsidP="00737AF7">
      <w:pPr>
        <w:tabs>
          <w:tab w:val="left" w:pos="9214"/>
        </w:tabs>
        <w:ind w:right="-568" w:firstLine="360"/>
        <w:rPr>
          <w:sz w:val="22"/>
          <w:szCs w:val="22"/>
        </w:rPr>
      </w:pPr>
    </w:p>
    <w:p w:rsidR="00E1763C" w:rsidRDefault="00E1763C" w:rsidP="00737AF7">
      <w:pPr>
        <w:tabs>
          <w:tab w:val="left" w:pos="9214"/>
        </w:tabs>
        <w:ind w:right="-568" w:firstLine="360"/>
        <w:rPr>
          <w:sz w:val="22"/>
          <w:szCs w:val="22"/>
        </w:rPr>
      </w:pPr>
      <w:r>
        <w:rPr>
          <w:sz w:val="22"/>
          <w:szCs w:val="22"/>
        </w:rPr>
        <w:t xml:space="preserve">O Decreto nº 45.333/15 </w:t>
      </w:r>
      <w:r w:rsidR="00EE634D">
        <w:rPr>
          <w:sz w:val="22"/>
          <w:szCs w:val="22"/>
        </w:rPr>
        <w:t xml:space="preserve">que </w:t>
      </w:r>
      <w:r>
        <w:rPr>
          <w:sz w:val="22"/>
          <w:szCs w:val="22"/>
        </w:rPr>
        <w:t xml:space="preserve">regulamentou a Lei nº 7.036/15 </w:t>
      </w:r>
      <w:r w:rsidR="00EE634D">
        <w:rPr>
          <w:sz w:val="22"/>
          <w:szCs w:val="22"/>
        </w:rPr>
        <w:t>indica que o valor do incentivo fiscal corresponde às despesas incorridas pelo Estado do Rio de Janeiro para cumprir suas dívidas decorrentes dos compromissos assumidos com o Comitê Olímpico Internacional para realização dos Jogos Rio 2016.</w:t>
      </w:r>
    </w:p>
    <w:p w:rsidR="00EE634D" w:rsidRDefault="00EE634D" w:rsidP="00737AF7">
      <w:pPr>
        <w:tabs>
          <w:tab w:val="left" w:pos="9214"/>
        </w:tabs>
        <w:ind w:right="-568" w:firstLine="360"/>
        <w:rPr>
          <w:sz w:val="22"/>
          <w:szCs w:val="22"/>
        </w:rPr>
      </w:pPr>
    </w:p>
    <w:p w:rsidR="00EE634D" w:rsidRDefault="00F622F9" w:rsidP="00737AF7">
      <w:pPr>
        <w:tabs>
          <w:tab w:val="left" w:pos="9214"/>
        </w:tabs>
        <w:ind w:right="-568" w:firstLine="360"/>
        <w:rPr>
          <w:sz w:val="22"/>
          <w:szCs w:val="22"/>
        </w:rPr>
      </w:pPr>
      <w:r>
        <w:rPr>
          <w:sz w:val="22"/>
          <w:szCs w:val="22"/>
        </w:rPr>
        <w:t xml:space="preserve">Logo, apesar do nome </w:t>
      </w:r>
      <w:r w:rsidR="00437660">
        <w:rPr>
          <w:sz w:val="22"/>
          <w:szCs w:val="22"/>
        </w:rPr>
        <w:t>“</w:t>
      </w:r>
      <w:r w:rsidRPr="00437660">
        <w:rPr>
          <w:i/>
          <w:sz w:val="22"/>
          <w:szCs w:val="22"/>
        </w:rPr>
        <w:t>incentivos fiscais</w:t>
      </w:r>
      <w:r>
        <w:rPr>
          <w:sz w:val="22"/>
          <w:szCs w:val="22"/>
        </w:rPr>
        <w:t xml:space="preserve">", trata-se de simples sistemática de devolução aos contribuintes do montante gasto por eles em lugar do Estado, para viabilizar os </w:t>
      </w:r>
      <w:r w:rsidRPr="00263D8B">
        <w:rPr>
          <w:sz w:val="22"/>
          <w:szCs w:val="22"/>
        </w:rPr>
        <w:t>Jogos Olímpicos e Paralímpicos de 2016</w:t>
      </w:r>
      <w:r>
        <w:rPr>
          <w:sz w:val="22"/>
          <w:szCs w:val="22"/>
        </w:rPr>
        <w:t>.</w:t>
      </w:r>
      <w:r w:rsidR="00EE634D">
        <w:rPr>
          <w:sz w:val="22"/>
          <w:szCs w:val="22"/>
        </w:rPr>
        <w:t xml:space="preserve"> Ao contrário: o contribuinte deveria antecipar integralmente despesas e receber parceladamente e sem juros (ou seja, em termos concretos o contribuinte terminava por sofrer prejuízos, em nome da </w:t>
      </w:r>
      <w:r w:rsidR="00437660">
        <w:rPr>
          <w:sz w:val="22"/>
          <w:szCs w:val="22"/>
        </w:rPr>
        <w:t>boa-fé</w:t>
      </w:r>
      <w:r w:rsidR="00EE634D">
        <w:rPr>
          <w:sz w:val="22"/>
          <w:szCs w:val="22"/>
        </w:rPr>
        <w:t xml:space="preserve"> e colaboração com o Poder Público).</w:t>
      </w:r>
    </w:p>
    <w:p w:rsidR="0040623D" w:rsidRDefault="0040623D" w:rsidP="00737AF7">
      <w:pPr>
        <w:tabs>
          <w:tab w:val="left" w:pos="9214"/>
        </w:tabs>
        <w:ind w:right="-568" w:firstLine="360"/>
        <w:rPr>
          <w:sz w:val="22"/>
          <w:szCs w:val="22"/>
        </w:rPr>
      </w:pPr>
    </w:p>
    <w:p w:rsidR="0040623D" w:rsidRDefault="0040623D" w:rsidP="00737AF7">
      <w:pPr>
        <w:tabs>
          <w:tab w:val="left" w:pos="9214"/>
        </w:tabs>
        <w:ind w:right="-568" w:firstLine="360"/>
        <w:rPr>
          <w:sz w:val="22"/>
          <w:szCs w:val="22"/>
        </w:rPr>
      </w:pPr>
      <w:r>
        <w:rPr>
          <w:sz w:val="22"/>
          <w:szCs w:val="22"/>
        </w:rPr>
        <w:t>A consulente, movida pela confiança legítima e imbuída pelo espírito de confiança com o estado fluminense, realizou aportes de capital tanto pela sistemática da Lei nº 7.036/15 e Lei n°7.218/16, e vem</w:t>
      </w:r>
      <w:r w:rsidR="00437660">
        <w:rPr>
          <w:sz w:val="22"/>
          <w:szCs w:val="22"/>
        </w:rPr>
        <w:t>,</w:t>
      </w:r>
      <w:r>
        <w:rPr>
          <w:sz w:val="22"/>
          <w:szCs w:val="22"/>
        </w:rPr>
        <w:t xml:space="preserve"> mensalmente</w:t>
      </w:r>
      <w:r w:rsidR="00437660">
        <w:rPr>
          <w:sz w:val="22"/>
          <w:szCs w:val="22"/>
        </w:rPr>
        <w:t>,</w:t>
      </w:r>
      <w:r>
        <w:rPr>
          <w:sz w:val="22"/>
          <w:szCs w:val="22"/>
        </w:rPr>
        <w:t xml:space="preserve"> sendo restituída mediante o aproveitamento como créditos </w:t>
      </w:r>
      <w:r w:rsidR="00DA1F5E">
        <w:rPr>
          <w:sz w:val="22"/>
          <w:szCs w:val="22"/>
        </w:rPr>
        <w:t>do ICMS a compensar</w:t>
      </w:r>
      <w:r w:rsidR="00437660" w:rsidRPr="00437660">
        <w:rPr>
          <w:sz w:val="22"/>
          <w:szCs w:val="22"/>
        </w:rPr>
        <w:t xml:space="preserve"> </w:t>
      </w:r>
      <w:r w:rsidR="00437660">
        <w:rPr>
          <w:sz w:val="22"/>
          <w:szCs w:val="22"/>
        </w:rPr>
        <w:t>em sua apuração do imposto</w:t>
      </w:r>
      <w:r w:rsidR="00DA1F5E">
        <w:rPr>
          <w:sz w:val="22"/>
          <w:szCs w:val="22"/>
        </w:rPr>
        <w:t>, respeitado o limite previsto</w:t>
      </w:r>
      <w:r w:rsidR="00437660">
        <w:rPr>
          <w:sz w:val="22"/>
          <w:szCs w:val="22"/>
        </w:rPr>
        <w:t xml:space="preserve"> na mencionada legislação</w:t>
      </w:r>
      <w:r w:rsidR="00DA1F5E">
        <w:rPr>
          <w:sz w:val="22"/>
          <w:szCs w:val="22"/>
        </w:rPr>
        <w:t>.</w:t>
      </w:r>
    </w:p>
    <w:p w:rsidR="00DA1F5E" w:rsidRDefault="00DA1F5E" w:rsidP="00737AF7">
      <w:pPr>
        <w:tabs>
          <w:tab w:val="left" w:pos="9214"/>
        </w:tabs>
        <w:ind w:right="-568" w:firstLine="360"/>
        <w:rPr>
          <w:sz w:val="22"/>
          <w:szCs w:val="22"/>
        </w:rPr>
      </w:pPr>
    </w:p>
    <w:p w:rsidR="00DA1F5E" w:rsidRDefault="00DA1F5E" w:rsidP="00737AF7">
      <w:pPr>
        <w:tabs>
          <w:tab w:val="left" w:pos="9214"/>
        </w:tabs>
        <w:ind w:right="-568" w:firstLine="360"/>
        <w:rPr>
          <w:sz w:val="22"/>
          <w:szCs w:val="22"/>
        </w:rPr>
      </w:pPr>
      <w:r>
        <w:rPr>
          <w:sz w:val="22"/>
          <w:szCs w:val="22"/>
        </w:rPr>
        <w:t xml:space="preserve">Entretanto, a </w:t>
      </w:r>
      <w:r w:rsidRPr="0002447A">
        <w:rPr>
          <w:sz w:val="22"/>
          <w:szCs w:val="22"/>
        </w:rPr>
        <w:t>Lei n</w:t>
      </w:r>
      <w:r>
        <w:rPr>
          <w:sz w:val="22"/>
          <w:szCs w:val="22"/>
        </w:rPr>
        <w:t xml:space="preserve">º </w:t>
      </w:r>
      <w:r w:rsidRPr="0002447A">
        <w:rPr>
          <w:sz w:val="22"/>
          <w:szCs w:val="22"/>
        </w:rPr>
        <w:t>7.428/16</w:t>
      </w:r>
      <w:r>
        <w:rPr>
          <w:sz w:val="22"/>
          <w:szCs w:val="22"/>
        </w:rPr>
        <w:t xml:space="preserve"> que instituiu o </w:t>
      </w:r>
      <w:r w:rsidRPr="0002447A">
        <w:rPr>
          <w:sz w:val="22"/>
          <w:szCs w:val="22"/>
        </w:rPr>
        <w:t>Fundo Estadual de Equilíbrio Fiscal (FEEF)</w:t>
      </w:r>
      <w:r>
        <w:rPr>
          <w:sz w:val="22"/>
          <w:szCs w:val="22"/>
        </w:rPr>
        <w:t xml:space="preserve"> disp</w:t>
      </w:r>
      <w:r w:rsidR="00437660">
        <w:rPr>
          <w:sz w:val="22"/>
          <w:szCs w:val="22"/>
        </w:rPr>
        <w:t>ôs</w:t>
      </w:r>
      <w:r>
        <w:rPr>
          <w:sz w:val="22"/>
          <w:szCs w:val="22"/>
        </w:rPr>
        <w:t xml:space="preserve"> em seu art. 2º que a f</w:t>
      </w:r>
      <w:r w:rsidRPr="00DA1F5E">
        <w:rPr>
          <w:sz w:val="22"/>
          <w:szCs w:val="22"/>
        </w:rPr>
        <w:t xml:space="preserve">ruição do benefício fiscal ou incentivo fiscal, já concedido ou que vier a ser </w:t>
      </w:r>
      <w:r w:rsidRPr="00DA1F5E">
        <w:rPr>
          <w:sz w:val="22"/>
          <w:szCs w:val="22"/>
        </w:rPr>
        <w:lastRenderedPageBreak/>
        <w:t>concedido, fica condicionada ao depósito ao FEEF do montante equivalente ao percentual de 10% (dez por cento) aplicado sobre a diferença entre o valor do imposto calculado com e sem a utilização de benefício ou incentivo fiscal concedido à empresa contribuinte do ICMS, nos termos do Convênio ICMS 42/16</w:t>
      </w:r>
      <w:r>
        <w:rPr>
          <w:sz w:val="22"/>
          <w:szCs w:val="22"/>
        </w:rPr>
        <w:t>.</w:t>
      </w:r>
    </w:p>
    <w:p w:rsidR="00DA1F5E" w:rsidRDefault="00DA1F5E" w:rsidP="00737AF7">
      <w:pPr>
        <w:tabs>
          <w:tab w:val="left" w:pos="9214"/>
        </w:tabs>
        <w:ind w:right="-568" w:firstLine="360"/>
        <w:rPr>
          <w:sz w:val="22"/>
          <w:szCs w:val="22"/>
        </w:rPr>
      </w:pPr>
    </w:p>
    <w:p w:rsidR="00DA1F5E" w:rsidRPr="0002447A" w:rsidRDefault="00DA1F5E" w:rsidP="00737AF7">
      <w:pPr>
        <w:tabs>
          <w:tab w:val="left" w:pos="9214"/>
        </w:tabs>
        <w:ind w:right="-568" w:firstLine="360"/>
        <w:rPr>
          <w:sz w:val="22"/>
          <w:szCs w:val="22"/>
        </w:rPr>
      </w:pPr>
      <w:r>
        <w:rPr>
          <w:sz w:val="22"/>
          <w:szCs w:val="22"/>
        </w:rPr>
        <w:t xml:space="preserve"> Apesar da </w:t>
      </w:r>
      <w:r w:rsidRPr="0002447A">
        <w:rPr>
          <w:sz w:val="22"/>
          <w:szCs w:val="22"/>
        </w:rPr>
        <w:t>Lei n</w:t>
      </w:r>
      <w:r>
        <w:rPr>
          <w:sz w:val="22"/>
          <w:szCs w:val="22"/>
        </w:rPr>
        <w:t xml:space="preserve">º </w:t>
      </w:r>
      <w:r w:rsidRPr="0002447A">
        <w:rPr>
          <w:sz w:val="22"/>
          <w:szCs w:val="22"/>
        </w:rPr>
        <w:t>7.428/16</w:t>
      </w:r>
      <w:r>
        <w:rPr>
          <w:sz w:val="22"/>
          <w:szCs w:val="22"/>
        </w:rPr>
        <w:t xml:space="preserve"> se referir </w:t>
      </w:r>
      <w:r w:rsidR="00F622F9">
        <w:rPr>
          <w:sz w:val="22"/>
          <w:szCs w:val="22"/>
        </w:rPr>
        <w:t>à</w:t>
      </w:r>
      <w:r>
        <w:rPr>
          <w:sz w:val="22"/>
          <w:szCs w:val="22"/>
        </w:rPr>
        <w:t xml:space="preserve"> fruição de incentivo fiscal, e as Leis</w:t>
      </w:r>
      <w:r w:rsidR="00F622F9">
        <w:rPr>
          <w:sz w:val="22"/>
          <w:szCs w:val="22"/>
        </w:rPr>
        <w:t xml:space="preserve"> </w:t>
      </w:r>
      <w:r>
        <w:rPr>
          <w:sz w:val="22"/>
          <w:szCs w:val="22"/>
        </w:rPr>
        <w:t>nº 7.036/15 e n°</w:t>
      </w:r>
      <w:r w:rsidR="00437660">
        <w:rPr>
          <w:sz w:val="22"/>
          <w:szCs w:val="22"/>
        </w:rPr>
        <w:t xml:space="preserve"> </w:t>
      </w:r>
      <w:r>
        <w:rPr>
          <w:sz w:val="22"/>
          <w:szCs w:val="22"/>
        </w:rPr>
        <w:t xml:space="preserve">7.218/16 também mencionarem incentivos fiscais, a consulente entende que os montantes dos créditos que aproveita no RAICMS como forma de mera devolução dos aportes de capital dispendidos para suprir compromissos assumidos pelo Estado para efetivação dos Jogos Rio 2016, não devem compor o montante a recolher em favor do FEEF/RJ, seja pela natureza dos ditos incentivos, seja pelo próprio efeito de enriquecimento sem causa em favor do Estado que tal recolhimento acarretaria. </w:t>
      </w:r>
    </w:p>
    <w:p w:rsidR="00737AF7" w:rsidRPr="0002447A" w:rsidRDefault="00737AF7" w:rsidP="00737AF7">
      <w:pPr>
        <w:tabs>
          <w:tab w:val="left" w:pos="9214"/>
        </w:tabs>
        <w:ind w:right="-568" w:firstLine="360"/>
        <w:rPr>
          <w:sz w:val="22"/>
          <w:szCs w:val="22"/>
        </w:rPr>
      </w:pPr>
    </w:p>
    <w:p w:rsidR="00F70367" w:rsidRPr="0002447A" w:rsidRDefault="00F70367" w:rsidP="00737AF7">
      <w:pPr>
        <w:tabs>
          <w:tab w:val="left" w:pos="9214"/>
        </w:tabs>
        <w:ind w:right="-568" w:firstLine="360"/>
        <w:rPr>
          <w:b/>
          <w:sz w:val="22"/>
          <w:szCs w:val="22"/>
        </w:rPr>
      </w:pPr>
      <w:r w:rsidRPr="0002447A">
        <w:rPr>
          <w:b/>
          <w:sz w:val="22"/>
          <w:szCs w:val="22"/>
        </w:rPr>
        <w:t xml:space="preserve">II – </w:t>
      </w:r>
      <w:r w:rsidRPr="0002447A">
        <w:rPr>
          <w:b/>
          <w:smallCaps/>
          <w:sz w:val="22"/>
          <w:szCs w:val="22"/>
        </w:rPr>
        <w:t>Consulta</w:t>
      </w:r>
      <w:r w:rsidRPr="0002447A">
        <w:rPr>
          <w:b/>
          <w:sz w:val="22"/>
          <w:szCs w:val="22"/>
        </w:rPr>
        <w:t>:</w:t>
      </w:r>
    </w:p>
    <w:p w:rsidR="00901E1A" w:rsidRDefault="00901E1A" w:rsidP="00737AF7">
      <w:pPr>
        <w:tabs>
          <w:tab w:val="left" w:pos="9214"/>
        </w:tabs>
        <w:ind w:right="-568" w:firstLine="360"/>
        <w:rPr>
          <w:sz w:val="22"/>
          <w:szCs w:val="22"/>
        </w:rPr>
      </w:pPr>
    </w:p>
    <w:p w:rsidR="00F70367" w:rsidRDefault="00182CFF" w:rsidP="00737AF7">
      <w:pPr>
        <w:tabs>
          <w:tab w:val="left" w:pos="9214"/>
        </w:tabs>
        <w:ind w:right="-568" w:firstLine="360"/>
        <w:rPr>
          <w:sz w:val="22"/>
          <w:szCs w:val="22"/>
        </w:rPr>
      </w:pPr>
      <w:r>
        <w:rPr>
          <w:sz w:val="22"/>
          <w:szCs w:val="22"/>
        </w:rPr>
        <w:t>Diante do exposto, a consulente apresenta o seguinte questionamento acerca da interpretação e aplicação da legislação tributária;</w:t>
      </w:r>
    </w:p>
    <w:p w:rsidR="00182CFF" w:rsidRPr="0002447A" w:rsidRDefault="00182CFF" w:rsidP="00737AF7">
      <w:pPr>
        <w:tabs>
          <w:tab w:val="left" w:pos="9214"/>
        </w:tabs>
        <w:ind w:right="-568" w:firstLine="360"/>
        <w:rPr>
          <w:sz w:val="22"/>
          <w:szCs w:val="22"/>
        </w:rPr>
      </w:pPr>
    </w:p>
    <w:p w:rsidR="00276CC8" w:rsidRPr="0002447A" w:rsidRDefault="00DB3FCD" w:rsidP="00737AF7">
      <w:pPr>
        <w:tabs>
          <w:tab w:val="left" w:pos="9214"/>
        </w:tabs>
        <w:ind w:right="-568" w:firstLine="360"/>
        <w:rPr>
          <w:sz w:val="22"/>
          <w:szCs w:val="22"/>
        </w:rPr>
      </w:pPr>
      <w:r w:rsidRPr="0002447A">
        <w:rPr>
          <w:sz w:val="22"/>
          <w:szCs w:val="22"/>
        </w:rPr>
        <w:t xml:space="preserve">1) </w:t>
      </w:r>
      <w:r w:rsidR="00DA1F5E">
        <w:rPr>
          <w:sz w:val="22"/>
          <w:szCs w:val="22"/>
        </w:rPr>
        <w:t>está correto o entendimento da consulente de que os créditos aproveitados mensalmente em seu livro Registro de Apuração do ICM S como forma de devolução dos gastos efetivados em cumprimento às Leis</w:t>
      </w:r>
      <w:r w:rsidR="00F622F9">
        <w:rPr>
          <w:sz w:val="22"/>
          <w:szCs w:val="22"/>
        </w:rPr>
        <w:t xml:space="preserve"> </w:t>
      </w:r>
      <w:r w:rsidR="00DA1F5E">
        <w:rPr>
          <w:sz w:val="22"/>
          <w:szCs w:val="22"/>
        </w:rPr>
        <w:t>nº 7.036/15 e n°7.218/16</w:t>
      </w:r>
      <w:r w:rsidR="00F77F55">
        <w:rPr>
          <w:sz w:val="22"/>
          <w:szCs w:val="22"/>
        </w:rPr>
        <w:t xml:space="preserve"> não devem compor a base de cálculo para recolhimento do FEEF instituído pela </w:t>
      </w:r>
      <w:r w:rsidR="00F77F55" w:rsidRPr="0002447A">
        <w:rPr>
          <w:sz w:val="22"/>
          <w:szCs w:val="22"/>
        </w:rPr>
        <w:t>Lei n</w:t>
      </w:r>
      <w:r w:rsidR="00F77F55">
        <w:rPr>
          <w:sz w:val="22"/>
          <w:szCs w:val="22"/>
        </w:rPr>
        <w:t xml:space="preserve">º </w:t>
      </w:r>
      <w:r w:rsidR="00F77F55" w:rsidRPr="0002447A">
        <w:rPr>
          <w:sz w:val="22"/>
          <w:szCs w:val="22"/>
        </w:rPr>
        <w:t>7.428/16</w:t>
      </w:r>
      <w:r w:rsidR="002B270D" w:rsidRPr="0002447A">
        <w:rPr>
          <w:sz w:val="22"/>
          <w:szCs w:val="22"/>
        </w:rPr>
        <w:t>?</w:t>
      </w:r>
    </w:p>
    <w:p w:rsidR="002B270D" w:rsidRPr="0002447A" w:rsidRDefault="002B270D" w:rsidP="00737AF7">
      <w:pPr>
        <w:tabs>
          <w:tab w:val="left" w:pos="9214"/>
        </w:tabs>
        <w:ind w:right="-568" w:firstLine="360"/>
        <w:rPr>
          <w:sz w:val="22"/>
          <w:szCs w:val="22"/>
        </w:rPr>
      </w:pPr>
    </w:p>
    <w:p w:rsidR="00276CC8" w:rsidRPr="0002447A" w:rsidRDefault="00F70367" w:rsidP="00B02718">
      <w:pPr>
        <w:tabs>
          <w:tab w:val="left" w:pos="9214"/>
        </w:tabs>
        <w:ind w:right="-285" w:firstLine="360"/>
        <w:rPr>
          <w:b/>
          <w:smallCaps/>
          <w:sz w:val="22"/>
          <w:szCs w:val="22"/>
        </w:rPr>
      </w:pPr>
      <w:r w:rsidRPr="0002447A">
        <w:rPr>
          <w:b/>
          <w:smallCaps/>
          <w:sz w:val="22"/>
          <w:szCs w:val="22"/>
        </w:rPr>
        <w:t>II – Análise e Fundamentação e Resposta:</w:t>
      </w:r>
    </w:p>
    <w:p w:rsidR="00F70367" w:rsidRPr="0002447A" w:rsidRDefault="00F70367" w:rsidP="00B02718">
      <w:pPr>
        <w:tabs>
          <w:tab w:val="left" w:pos="9214"/>
        </w:tabs>
        <w:ind w:right="-285" w:firstLine="360"/>
        <w:rPr>
          <w:sz w:val="22"/>
          <w:szCs w:val="22"/>
        </w:rPr>
      </w:pPr>
    </w:p>
    <w:p w:rsidR="00182CFF" w:rsidRDefault="00182CFF" w:rsidP="00182CFF">
      <w:pPr>
        <w:tabs>
          <w:tab w:val="left" w:pos="9214"/>
        </w:tabs>
        <w:ind w:right="-568" w:firstLine="360"/>
        <w:rPr>
          <w:sz w:val="22"/>
          <w:szCs w:val="22"/>
        </w:rPr>
      </w:pPr>
      <w:r w:rsidRPr="0002447A">
        <w:rPr>
          <w:sz w:val="22"/>
          <w:szCs w:val="22"/>
        </w:rPr>
        <w:t>O processo encontra-se instruído com o comprovante de pagamento da TSE (fls. 7/9), a habilitação do signatário da inicial para postular em nome da consulente (fls. 10/3</w:t>
      </w:r>
      <w:r w:rsidR="00F77F55">
        <w:rPr>
          <w:sz w:val="22"/>
          <w:szCs w:val="22"/>
        </w:rPr>
        <w:t>2</w:t>
      </w:r>
      <w:r w:rsidRPr="0002447A">
        <w:rPr>
          <w:sz w:val="22"/>
          <w:szCs w:val="22"/>
        </w:rPr>
        <w:t>), bem como as informações relativas aos incisos I e II do artigo 3º da Resolução SEF n° 109/76 (fls. 35).</w:t>
      </w:r>
    </w:p>
    <w:p w:rsidR="00CA63C9" w:rsidRDefault="00CA63C9" w:rsidP="00182CFF">
      <w:pPr>
        <w:tabs>
          <w:tab w:val="left" w:pos="9214"/>
        </w:tabs>
        <w:ind w:right="-568" w:firstLine="360"/>
        <w:rPr>
          <w:sz w:val="22"/>
          <w:szCs w:val="22"/>
        </w:rPr>
      </w:pPr>
    </w:p>
    <w:p w:rsidR="00901E1A" w:rsidRDefault="00901E1A" w:rsidP="00437660">
      <w:pPr>
        <w:ind w:right="-568" w:firstLine="426"/>
        <w:rPr>
          <w:b/>
          <w:smallCaps/>
          <w:sz w:val="22"/>
          <w:szCs w:val="22"/>
        </w:rPr>
      </w:pPr>
      <w:r w:rsidRPr="00B848DB">
        <w:rPr>
          <w:b/>
          <w:smallCaps/>
          <w:sz w:val="22"/>
          <w:szCs w:val="22"/>
        </w:rPr>
        <w:t>Respostas:</w:t>
      </w:r>
    </w:p>
    <w:p w:rsidR="00901E1A" w:rsidRDefault="00901E1A" w:rsidP="00437660">
      <w:pPr>
        <w:ind w:right="-568" w:firstLine="426"/>
        <w:rPr>
          <w:sz w:val="22"/>
          <w:szCs w:val="22"/>
        </w:rPr>
      </w:pPr>
    </w:p>
    <w:p w:rsidR="00737AF7" w:rsidRDefault="00325931" w:rsidP="00320C8C">
      <w:pPr>
        <w:ind w:right="-568" w:firstLine="426"/>
        <w:rPr>
          <w:sz w:val="22"/>
          <w:szCs w:val="22"/>
        </w:rPr>
      </w:pPr>
      <w:r>
        <w:rPr>
          <w:sz w:val="22"/>
          <w:szCs w:val="22"/>
        </w:rPr>
        <w:t xml:space="preserve">1) A Lei nº 7.428, de 25 de agosto de 2016, que instituiu o </w:t>
      </w:r>
      <w:r w:rsidRPr="00437660">
        <w:rPr>
          <w:sz w:val="22"/>
          <w:szCs w:val="22"/>
        </w:rPr>
        <w:t>Fundo Estadual de Equilíbrio Fiscal - FEEF, temporário, pelo prazo de 2 (dois) anos</w:t>
      </w:r>
      <w:r>
        <w:rPr>
          <w:sz w:val="22"/>
          <w:szCs w:val="22"/>
        </w:rPr>
        <w:t xml:space="preserve">, em seu art. </w:t>
      </w:r>
      <w:r w:rsidRPr="00437660">
        <w:rPr>
          <w:sz w:val="22"/>
          <w:szCs w:val="22"/>
        </w:rPr>
        <w:t xml:space="preserve">2º </w:t>
      </w:r>
      <w:r>
        <w:rPr>
          <w:sz w:val="22"/>
          <w:szCs w:val="22"/>
        </w:rPr>
        <w:t>dispôs que a</w:t>
      </w:r>
      <w:r w:rsidRPr="00437660">
        <w:rPr>
          <w:sz w:val="22"/>
          <w:szCs w:val="22"/>
        </w:rPr>
        <w:t xml:space="preserve"> fruição do benefício fiscal ou incentivo fiscal, já concedido ou que vier a ser concedido, fica condicionada ao depósito ao FEEF do montante equivalente ao percentual de 10% (dez por cento) aplicado sobre a diferença entre o valor do imposto calculado com e sem a utilização de benefício ou incentivo fiscal concedido à empresa contribuinte do ICMS, nos termos do Convênio ICMS 42/16, de 3 de maio de 2016, já considerado no aludido percentual a base de cálculo para o repasse constitucional para os Municípios (25%).</w:t>
      </w:r>
    </w:p>
    <w:p w:rsidR="00320C8C" w:rsidRDefault="00320C8C" w:rsidP="00320C8C">
      <w:pPr>
        <w:ind w:right="-568" w:firstLine="426"/>
        <w:rPr>
          <w:sz w:val="22"/>
          <w:szCs w:val="22"/>
        </w:rPr>
      </w:pPr>
    </w:p>
    <w:p w:rsidR="00320C8C" w:rsidRPr="00320C8C" w:rsidRDefault="00320C8C" w:rsidP="00320C8C">
      <w:pPr>
        <w:ind w:right="-568" w:firstLine="426"/>
        <w:rPr>
          <w:i/>
          <w:sz w:val="22"/>
          <w:szCs w:val="22"/>
        </w:rPr>
      </w:pPr>
      <w:r w:rsidRPr="00320C8C">
        <w:rPr>
          <w:i/>
          <w:sz w:val="22"/>
          <w:szCs w:val="22"/>
        </w:rPr>
        <w:t>O art. 14 da referida lei relaciona os incentivos e benefícios fiscais excluídos da obrigatoriedade de depósito do FEEF:</w:t>
      </w:r>
    </w:p>
    <w:p w:rsidR="00320C8C" w:rsidRPr="00320C8C" w:rsidRDefault="00320C8C" w:rsidP="00320C8C">
      <w:pPr>
        <w:ind w:right="-568" w:firstLine="426"/>
        <w:rPr>
          <w:i/>
          <w:sz w:val="22"/>
          <w:szCs w:val="22"/>
        </w:rPr>
      </w:pPr>
      <w:r w:rsidRPr="00320C8C">
        <w:rPr>
          <w:i/>
          <w:sz w:val="22"/>
          <w:szCs w:val="22"/>
        </w:rPr>
        <w:t>“Art. 14 - Ficam excluídos dos efeitos desta Lei:</w:t>
      </w:r>
    </w:p>
    <w:p w:rsidR="00320C8C" w:rsidRPr="00320C8C" w:rsidRDefault="00320C8C" w:rsidP="00320C8C">
      <w:pPr>
        <w:ind w:right="-568" w:firstLine="426"/>
        <w:rPr>
          <w:i/>
          <w:sz w:val="22"/>
          <w:szCs w:val="22"/>
        </w:rPr>
      </w:pPr>
      <w:r w:rsidRPr="00320C8C">
        <w:rPr>
          <w:i/>
          <w:sz w:val="22"/>
          <w:szCs w:val="22"/>
        </w:rPr>
        <w:tab/>
        <w:t>I - os contribuintes alcançados pelas Leis nºs 1954/92, 4173/03, 4892/06, 6331/12, 6648/13, 6868/14 e 6821/14;</w:t>
      </w:r>
    </w:p>
    <w:p w:rsidR="00320C8C" w:rsidRPr="00320C8C" w:rsidRDefault="00320C8C" w:rsidP="00320C8C">
      <w:pPr>
        <w:ind w:right="-568" w:firstLine="426"/>
        <w:rPr>
          <w:i/>
          <w:sz w:val="22"/>
          <w:szCs w:val="22"/>
        </w:rPr>
      </w:pPr>
      <w:r w:rsidRPr="00320C8C">
        <w:rPr>
          <w:i/>
          <w:sz w:val="22"/>
          <w:szCs w:val="22"/>
        </w:rPr>
        <w:tab/>
        <w:t>II - os contribuintes alcançados pelos seguintes Decretos nºs 32161/02, 36453/04, 38938/06, 43608/12 e 44498/13;</w:t>
      </w:r>
    </w:p>
    <w:p w:rsidR="00320C8C" w:rsidRPr="00320C8C" w:rsidRDefault="00320C8C" w:rsidP="00320C8C">
      <w:pPr>
        <w:ind w:right="-568" w:firstLine="426"/>
        <w:rPr>
          <w:i/>
          <w:sz w:val="22"/>
          <w:szCs w:val="22"/>
        </w:rPr>
      </w:pPr>
      <w:r w:rsidRPr="00320C8C">
        <w:rPr>
          <w:i/>
          <w:sz w:val="22"/>
          <w:szCs w:val="22"/>
        </w:rPr>
        <w:tab/>
        <w:t>III - os contribuintes alcançados pelo setor sucroalcooleiro;</w:t>
      </w:r>
    </w:p>
    <w:p w:rsidR="00320C8C" w:rsidRPr="00320C8C" w:rsidRDefault="00320C8C" w:rsidP="00320C8C">
      <w:pPr>
        <w:ind w:right="-568" w:firstLine="426"/>
        <w:rPr>
          <w:i/>
          <w:sz w:val="22"/>
          <w:szCs w:val="22"/>
        </w:rPr>
      </w:pPr>
      <w:r w:rsidRPr="00320C8C">
        <w:rPr>
          <w:i/>
          <w:sz w:val="22"/>
          <w:szCs w:val="22"/>
        </w:rPr>
        <w:lastRenderedPageBreak/>
        <w:tab/>
        <w:t>IV - os benefícios ou incentivos fiscais que alcancem material escolar e medicamentos básicos;</w:t>
      </w:r>
    </w:p>
    <w:p w:rsidR="00320C8C" w:rsidRPr="00320C8C" w:rsidRDefault="00320C8C" w:rsidP="00320C8C">
      <w:pPr>
        <w:ind w:right="-568" w:firstLine="426"/>
        <w:rPr>
          <w:i/>
          <w:sz w:val="22"/>
          <w:szCs w:val="22"/>
        </w:rPr>
      </w:pPr>
      <w:r w:rsidRPr="00320C8C">
        <w:rPr>
          <w:i/>
          <w:sz w:val="22"/>
          <w:szCs w:val="22"/>
        </w:rPr>
        <w:tab/>
        <w:t>V - os benefícios ou incentivos fiscais concedidos a micro e pequenas empresas definidas na Lei Complementar 123/06;</w:t>
      </w:r>
    </w:p>
    <w:p w:rsidR="00320C8C" w:rsidRDefault="00320C8C" w:rsidP="00320C8C">
      <w:pPr>
        <w:ind w:right="-568" w:firstLine="426"/>
        <w:rPr>
          <w:i/>
          <w:sz w:val="22"/>
          <w:szCs w:val="22"/>
        </w:rPr>
      </w:pPr>
      <w:r w:rsidRPr="00320C8C">
        <w:rPr>
          <w:i/>
          <w:sz w:val="22"/>
          <w:szCs w:val="22"/>
        </w:rPr>
        <w:tab/>
        <w:t>VI - VETADO.”</w:t>
      </w:r>
    </w:p>
    <w:p w:rsidR="00320C8C" w:rsidRDefault="00320C8C" w:rsidP="00320C8C">
      <w:pPr>
        <w:ind w:right="-568" w:firstLine="426"/>
        <w:rPr>
          <w:i/>
          <w:sz w:val="22"/>
          <w:szCs w:val="22"/>
        </w:rPr>
      </w:pPr>
    </w:p>
    <w:p w:rsidR="008E69E6" w:rsidRPr="008E69E6" w:rsidRDefault="00320C8C" w:rsidP="008E69E6">
      <w:pPr>
        <w:ind w:right="-568" w:firstLine="426"/>
        <w:rPr>
          <w:sz w:val="22"/>
          <w:szCs w:val="22"/>
        </w:rPr>
      </w:pPr>
      <w:r>
        <w:rPr>
          <w:sz w:val="22"/>
          <w:szCs w:val="22"/>
        </w:rPr>
        <w:t xml:space="preserve">O </w:t>
      </w:r>
      <w:r w:rsidRPr="00320C8C">
        <w:rPr>
          <w:sz w:val="22"/>
          <w:szCs w:val="22"/>
        </w:rPr>
        <w:t xml:space="preserve">Decreto </w:t>
      </w:r>
      <w:r>
        <w:rPr>
          <w:sz w:val="22"/>
          <w:szCs w:val="22"/>
        </w:rPr>
        <w:t xml:space="preserve">nº </w:t>
      </w:r>
      <w:r w:rsidRPr="00320C8C">
        <w:rPr>
          <w:sz w:val="22"/>
          <w:szCs w:val="22"/>
        </w:rPr>
        <w:t>45</w:t>
      </w:r>
      <w:r>
        <w:rPr>
          <w:sz w:val="22"/>
          <w:szCs w:val="22"/>
        </w:rPr>
        <w:t>.</w:t>
      </w:r>
      <w:r w:rsidRPr="00320C8C">
        <w:rPr>
          <w:sz w:val="22"/>
          <w:szCs w:val="22"/>
        </w:rPr>
        <w:t>810</w:t>
      </w:r>
      <w:r>
        <w:rPr>
          <w:sz w:val="22"/>
          <w:szCs w:val="22"/>
        </w:rPr>
        <w:t xml:space="preserve">, </w:t>
      </w:r>
      <w:r w:rsidRPr="00320C8C">
        <w:rPr>
          <w:sz w:val="22"/>
          <w:szCs w:val="22"/>
        </w:rPr>
        <w:t>de 3 de novembro de 2016</w:t>
      </w:r>
      <w:r>
        <w:rPr>
          <w:sz w:val="22"/>
          <w:szCs w:val="22"/>
        </w:rPr>
        <w:t xml:space="preserve">, que regulamentou dispositivos da referida lei dispõe </w:t>
      </w:r>
      <w:r w:rsidR="008E69E6">
        <w:rPr>
          <w:sz w:val="22"/>
          <w:szCs w:val="22"/>
        </w:rPr>
        <w:t>no § 1º do</w:t>
      </w:r>
      <w:r>
        <w:rPr>
          <w:sz w:val="22"/>
          <w:szCs w:val="22"/>
        </w:rPr>
        <w:t xml:space="preserve"> seu art. 2º </w:t>
      </w:r>
      <w:r w:rsidR="008E69E6">
        <w:rPr>
          <w:sz w:val="22"/>
          <w:szCs w:val="22"/>
        </w:rPr>
        <w:t>que e</w:t>
      </w:r>
      <w:r w:rsidR="008E69E6" w:rsidRPr="008E69E6">
        <w:rPr>
          <w:sz w:val="22"/>
          <w:szCs w:val="22"/>
        </w:rPr>
        <w:t xml:space="preserve">stão abrangidos pelo </w:t>
      </w:r>
      <w:r w:rsidR="008E69E6">
        <w:rPr>
          <w:sz w:val="22"/>
          <w:szCs w:val="22"/>
        </w:rPr>
        <w:t xml:space="preserve">FEEF os benefícios ou incentivos </w:t>
      </w:r>
      <w:r w:rsidR="008E69E6" w:rsidRPr="008E69E6">
        <w:rPr>
          <w:sz w:val="22"/>
          <w:szCs w:val="22"/>
        </w:rPr>
        <w:t xml:space="preserve">fiscais constantes do Manual de Diferimento, Ampliação de Prazo de Recolhimento, Suspensão e de Incentivos e Benefícios de Natureza Tributária, instituído pelo Decreto nº 27815/01, inclusive nas hipóteses referidas no § 3º deste artigo, excetuados os: </w:t>
      </w:r>
    </w:p>
    <w:p w:rsidR="008E69E6" w:rsidRPr="008E69E6" w:rsidRDefault="008E69E6" w:rsidP="008E69E6">
      <w:pPr>
        <w:ind w:right="-568" w:firstLine="426"/>
        <w:rPr>
          <w:sz w:val="22"/>
          <w:szCs w:val="22"/>
        </w:rPr>
      </w:pPr>
      <w:r w:rsidRPr="008E69E6">
        <w:rPr>
          <w:sz w:val="22"/>
          <w:szCs w:val="22"/>
        </w:rPr>
        <w:t>a) previstos:</w:t>
      </w:r>
    </w:p>
    <w:p w:rsidR="008E69E6" w:rsidRPr="008E69E6" w:rsidRDefault="008E69E6" w:rsidP="008E69E6">
      <w:pPr>
        <w:ind w:right="-568" w:firstLine="426"/>
        <w:rPr>
          <w:sz w:val="22"/>
          <w:szCs w:val="22"/>
        </w:rPr>
      </w:pPr>
      <w:r w:rsidRPr="008E69E6">
        <w:rPr>
          <w:sz w:val="22"/>
          <w:szCs w:val="22"/>
        </w:rPr>
        <w:t>1 - nas Leis nºs 1954/92, 4173/03, 4892/06, 6331/12, 6648/13, 6868/14 e 6821/14;</w:t>
      </w:r>
    </w:p>
    <w:p w:rsidR="008E69E6" w:rsidRPr="008E69E6" w:rsidRDefault="008E69E6" w:rsidP="008E69E6">
      <w:pPr>
        <w:ind w:right="-568" w:firstLine="426"/>
        <w:rPr>
          <w:sz w:val="22"/>
          <w:szCs w:val="22"/>
        </w:rPr>
      </w:pPr>
      <w:r w:rsidRPr="008E69E6">
        <w:rPr>
          <w:sz w:val="22"/>
          <w:szCs w:val="22"/>
        </w:rPr>
        <w:t>2 - nos Decretos nºs 32161/02, 36376/04, 36453/04, 37210/05, 38938/06, 43608/12, 43739/12 e 44498/13;</w:t>
      </w:r>
    </w:p>
    <w:p w:rsidR="008E69E6" w:rsidRPr="008E69E6" w:rsidRDefault="008E69E6" w:rsidP="008E69E6">
      <w:pPr>
        <w:ind w:right="-568" w:firstLine="426"/>
        <w:rPr>
          <w:sz w:val="22"/>
          <w:szCs w:val="22"/>
        </w:rPr>
      </w:pPr>
      <w:r w:rsidRPr="008E69E6">
        <w:rPr>
          <w:sz w:val="22"/>
          <w:szCs w:val="22"/>
        </w:rPr>
        <w:t>3 - no artigo 48 do Livro IV e nos artigos 35A, 35B e 35C do Livro V, ambos do RICMS, aprovado pelo Decreto nº 27427/00;</w:t>
      </w:r>
    </w:p>
    <w:p w:rsidR="008E69E6" w:rsidRPr="008E69E6" w:rsidRDefault="008E69E6" w:rsidP="008E69E6">
      <w:pPr>
        <w:ind w:right="-568" w:firstLine="426"/>
        <w:rPr>
          <w:sz w:val="22"/>
          <w:szCs w:val="22"/>
        </w:rPr>
      </w:pPr>
      <w:r w:rsidRPr="008E69E6">
        <w:rPr>
          <w:sz w:val="22"/>
          <w:szCs w:val="22"/>
        </w:rPr>
        <w:t>b) que contemplem operações realizadas com medicamentos que constem na Relação Nacional de Medicamentos Essenciais - RENAME ou na lista do Programa Farmácia Popular do Brasil - PFPB, nos termos dos atos normativos editados pelo Ministério da Saúde;</w:t>
      </w:r>
    </w:p>
    <w:p w:rsidR="008E69E6" w:rsidRPr="008E69E6" w:rsidRDefault="008E69E6" w:rsidP="008E69E6">
      <w:pPr>
        <w:ind w:right="-568" w:firstLine="426"/>
        <w:rPr>
          <w:sz w:val="22"/>
          <w:szCs w:val="22"/>
        </w:rPr>
      </w:pPr>
      <w:r w:rsidRPr="008E69E6">
        <w:rPr>
          <w:sz w:val="22"/>
          <w:szCs w:val="22"/>
        </w:rPr>
        <w:t>c) classificados como suspensão e ampliação de prazo de pagamento;</w:t>
      </w:r>
    </w:p>
    <w:p w:rsidR="008E69E6" w:rsidRPr="008E69E6" w:rsidRDefault="008E69E6" w:rsidP="008E69E6">
      <w:pPr>
        <w:ind w:right="-568" w:firstLine="426"/>
        <w:rPr>
          <w:sz w:val="22"/>
          <w:szCs w:val="22"/>
        </w:rPr>
      </w:pPr>
      <w:r w:rsidRPr="008E69E6">
        <w:rPr>
          <w:sz w:val="22"/>
          <w:szCs w:val="22"/>
        </w:rPr>
        <w:t>d) decorrentes de regimes de apuração por estimativa, desde que obedecido o disposto no § 1º do artigo 26 da Lei Complementar federal nº 87/96, de 13 de setembro de 1996;</w:t>
      </w:r>
    </w:p>
    <w:p w:rsidR="008E69E6" w:rsidRPr="008E69E6" w:rsidRDefault="008E69E6" w:rsidP="008E69E6">
      <w:pPr>
        <w:ind w:right="-568" w:firstLine="426"/>
        <w:rPr>
          <w:sz w:val="22"/>
          <w:szCs w:val="22"/>
        </w:rPr>
      </w:pPr>
      <w:r w:rsidRPr="008E69E6">
        <w:rPr>
          <w:sz w:val="22"/>
          <w:szCs w:val="22"/>
        </w:rPr>
        <w:t>e) classificados como diferimento, ressalvando-se os que resultam em redução do valor ICMS a ser pago, abrangidos pela obrigação de realizar o depósito no FEEF, relacionados a seguir:</w:t>
      </w:r>
    </w:p>
    <w:p w:rsidR="008E69E6" w:rsidRPr="008E69E6" w:rsidRDefault="008E69E6" w:rsidP="008E69E6">
      <w:pPr>
        <w:ind w:right="-568" w:firstLine="426"/>
        <w:rPr>
          <w:sz w:val="22"/>
          <w:szCs w:val="22"/>
        </w:rPr>
      </w:pPr>
      <w:r w:rsidRPr="008E69E6">
        <w:rPr>
          <w:sz w:val="22"/>
          <w:szCs w:val="22"/>
        </w:rPr>
        <w:t>1</w:t>
      </w:r>
      <w:r>
        <w:rPr>
          <w:sz w:val="22"/>
          <w:szCs w:val="22"/>
        </w:rPr>
        <w:t xml:space="preserve"> -</w:t>
      </w:r>
      <w:r w:rsidRPr="008E69E6">
        <w:rPr>
          <w:sz w:val="22"/>
          <w:szCs w:val="22"/>
        </w:rPr>
        <w:t xml:space="preserve"> diferimento nas aquisições de ativo permanente;</w:t>
      </w:r>
    </w:p>
    <w:p w:rsidR="008E69E6" w:rsidRPr="008E69E6" w:rsidRDefault="008E69E6" w:rsidP="008E69E6">
      <w:pPr>
        <w:ind w:right="-568" w:firstLine="426"/>
        <w:rPr>
          <w:sz w:val="22"/>
          <w:szCs w:val="22"/>
        </w:rPr>
      </w:pPr>
      <w:r w:rsidRPr="008E69E6">
        <w:rPr>
          <w:sz w:val="22"/>
          <w:szCs w:val="22"/>
        </w:rPr>
        <w:t>2</w:t>
      </w:r>
      <w:r>
        <w:rPr>
          <w:sz w:val="22"/>
          <w:szCs w:val="22"/>
        </w:rPr>
        <w:t xml:space="preserve"> -</w:t>
      </w:r>
      <w:r w:rsidRPr="008E69E6">
        <w:rPr>
          <w:sz w:val="22"/>
          <w:szCs w:val="22"/>
        </w:rPr>
        <w:t xml:space="preserve"> diferimento nas saídas destinadas a contribuintes optantes pelo Simples Nacional ou enquadrados em regime de pagamento por estimativa, regime especial de tributação ou qualquer forma alternativa de apuração do imposto não enquadrada no regime de compensação, realizado mediante confronto periódico entre débitos e créditos, na forma do artigo 33 da Lei nº 2657/96, de 26 de dezembro de 1996;</w:t>
      </w:r>
    </w:p>
    <w:p w:rsidR="008E69E6" w:rsidRDefault="008E69E6" w:rsidP="008E69E6">
      <w:pPr>
        <w:ind w:right="-568" w:firstLine="426"/>
        <w:rPr>
          <w:sz w:val="22"/>
          <w:szCs w:val="22"/>
        </w:rPr>
      </w:pPr>
      <w:r w:rsidRPr="008E69E6">
        <w:rPr>
          <w:sz w:val="22"/>
          <w:szCs w:val="22"/>
        </w:rPr>
        <w:t>3</w:t>
      </w:r>
      <w:r>
        <w:rPr>
          <w:sz w:val="22"/>
          <w:szCs w:val="22"/>
        </w:rPr>
        <w:t xml:space="preserve"> -</w:t>
      </w:r>
      <w:r w:rsidRPr="008E69E6">
        <w:rPr>
          <w:sz w:val="22"/>
          <w:szCs w:val="22"/>
        </w:rPr>
        <w:t xml:space="preserve"> diferimento no desembaraço aduaneiro de mercadorias importadas que serão objeto de saídas interestaduais sujeitas à alíquota de 4% (quatro por cento), conforme Resolução do Senado Federal nº 13/12, previsto na Resolução SEFAZ nº 726/14, de 19 de fevereiro de 2014.</w:t>
      </w:r>
    </w:p>
    <w:p w:rsidR="008E69E6" w:rsidRDefault="008E69E6" w:rsidP="008E69E6">
      <w:pPr>
        <w:ind w:right="-568" w:firstLine="426"/>
        <w:rPr>
          <w:sz w:val="22"/>
          <w:szCs w:val="22"/>
        </w:rPr>
      </w:pPr>
      <w:r w:rsidRPr="008E69E6">
        <w:rPr>
          <w:sz w:val="22"/>
          <w:szCs w:val="22"/>
        </w:rPr>
        <w:tab/>
        <w:t xml:space="preserve">f) classificados como isenção, quando incidentes sobre operações de saída com vasilhames, recipientes e embalagens, inclusive sacaria, vazios ou cujo valor não seja computado no valor das mercadorias que acondicionem, nas hipóteses previstas no Convênio ICMS 88/91 e no Convênio ICMS 42/01, celebrados no âmbito do Conselho Nacional de Política Fazendária, por não resultarem em redução do valor ICMS a ser pago; </w:t>
      </w:r>
    </w:p>
    <w:p w:rsidR="008E69E6" w:rsidRDefault="008E69E6" w:rsidP="008E69E6">
      <w:pPr>
        <w:ind w:right="-568" w:firstLine="426"/>
        <w:rPr>
          <w:sz w:val="22"/>
          <w:szCs w:val="22"/>
        </w:rPr>
      </w:pPr>
      <w:r w:rsidRPr="008E69E6">
        <w:rPr>
          <w:sz w:val="22"/>
          <w:szCs w:val="22"/>
        </w:rPr>
        <w:tab/>
        <w:t xml:space="preserve">g) incidentes nas importações em que não haja a transferência de propriedade. </w:t>
      </w:r>
    </w:p>
    <w:p w:rsidR="008E69E6" w:rsidRPr="008E69E6" w:rsidRDefault="008E69E6" w:rsidP="008E69E6">
      <w:pPr>
        <w:ind w:right="-568" w:firstLine="426"/>
        <w:rPr>
          <w:sz w:val="22"/>
          <w:szCs w:val="22"/>
        </w:rPr>
      </w:pPr>
      <w:r w:rsidRPr="008E69E6">
        <w:rPr>
          <w:sz w:val="22"/>
          <w:szCs w:val="22"/>
        </w:rPr>
        <w:tab/>
        <w:t>II - financeiro-fiscais e financeiros cuja fruição resulte em redução do valor do ICMS a ser pago, inclusive quando houver extinção do crédito tributário por meio de compensação, conforme previsto no artigo 3º da Lei nº 2823/97, de 7 de novembro de 1997, e no artigo 1º do Decreto nº 25980/00, de 14 de janeiro de 2000.</w:t>
      </w:r>
    </w:p>
    <w:p w:rsidR="008E69E6" w:rsidRDefault="008E69E6" w:rsidP="008E69E6">
      <w:pPr>
        <w:ind w:right="-568" w:firstLine="426"/>
        <w:rPr>
          <w:sz w:val="22"/>
          <w:szCs w:val="22"/>
        </w:rPr>
      </w:pPr>
    </w:p>
    <w:p w:rsidR="008E69E6" w:rsidRPr="008E69E6" w:rsidRDefault="008E69E6" w:rsidP="008E69E6">
      <w:pPr>
        <w:tabs>
          <w:tab w:val="left" w:pos="9214"/>
        </w:tabs>
        <w:ind w:right="-285" w:firstLine="426"/>
        <w:rPr>
          <w:sz w:val="22"/>
          <w:szCs w:val="22"/>
        </w:rPr>
      </w:pPr>
      <w:r>
        <w:rPr>
          <w:sz w:val="22"/>
          <w:szCs w:val="22"/>
        </w:rPr>
        <w:t>Considerando que o incentivo fiscal previsto na Lei nº 7.036</w:t>
      </w:r>
      <w:r w:rsidR="00FE127B">
        <w:rPr>
          <w:sz w:val="22"/>
          <w:szCs w:val="22"/>
        </w:rPr>
        <w:t>,</w:t>
      </w:r>
      <w:r>
        <w:rPr>
          <w:sz w:val="22"/>
          <w:szCs w:val="22"/>
        </w:rPr>
        <w:t xml:space="preserve"> de 7 de julho de 2015, </w:t>
      </w:r>
      <w:r w:rsidRPr="008E69E6">
        <w:rPr>
          <w:sz w:val="22"/>
          <w:szCs w:val="22"/>
        </w:rPr>
        <w:t>Jogos Olímpicos e Paralímpicos de 2016</w:t>
      </w:r>
      <w:r>
        <w:rPr>
          <w:sz w:val="22"/>
          <w:szCs w:val="22"/>
        </w:rPr>
        <w:t xml:space="preserve">, assim como, o </w:t>
      </w:r>
      <w:r w:rsidRPr="008E69E6">
        <w:rPr>
          <w:sz w:val="22"/>
          <w:szCs w:val="22"/>
        </w:rPr>
        <w:t xml:space="preserve">Decreto </w:t>
      </w:r>
      <w:r>
        <w:rPr>
          <w:sz w:val="22"/>
          <w:szCs w:val="22"/>
        </w:rPr>
        <w:t xml:space="preserve">nº </w:t>
      </w:r>
      <w:r w:rsidRPr="008E69E6">
        <w:rPr>
          <w:sz w:val="22"/>
          <w:szCs w:val="22"/>
        </w:rPr>
        <w:t>45.333</w:t>
      </w:r>
      <w:r>
        <w:rPr>
          <w:sz w:val="22"/>
          <w:szCs w:val="22"/>
        </w:rPr>
        <w:t xml:space="preserve">, de 30 de dezembro de 2015, </w:t>
      </w:r>
      <w:r w:rsidR="00FE127B">
        <w:rPr>
          <w:sz w:val="22"/>
          <w:szCs w:val="22"/>
        </w:rPr>
        <w:lastRenderedPageBreak/>
        <w:t xml:space="preserve">que a regulamentou constam do </w:t>
      </w:r>
      <w:r w:rsidR="00FE127B" w:rsidRPr="008E69E6">
        <w:rPr>
          <w:sz w:val="22"/>
          <w:szCs w:val="22"/>
        </w:rPr>
        <w:t>Manual de Diferimento, Ampliação de Prazo de Recolhimento, Suspensão e de Incentivos e Benefícios de Natureza Tributária, instituído pelo Decreto nº 27815/01</w:t>
      </w:r>
      <w:r w:rsidR="00FE127B">
        <w:rPr>
          <w:sz w:val="22"/>
          <w:szCs w:val="22"/>
        </w:rPr>
        <w:t>, a que se refere o § 1º do art. 2º do Decreto nº 45.810/16, e não está relacionada entre as exceções, entendemos que a consulente está obrigada ao depósito do FEEF, considerando também o crédito presumido concedido pela Lei nº 7.036/15.</w:t>
      </w:r>
    </w:p>
    <w:p w:rsidR="008E69E6" w:rsidRPr="008E69E6" w:rsidRDefault="008E69E6" w:rsidP="008E69E6">
      <w:pPr>
        <w:tabs>
          <w:tab w:val="left" w:pos="9214"/>
        </w:tabs>
        <w:ind w:right="-285" w:firstLine="426"/>
        <w:rPr>
          <w:sz w:val="22"/>
          <w:szCs w:val="22"/>
        </w:rPr>
      </w:pPr>
    </w:p>
    <w:p w:rsidR="004118E5" w:rsidRDefault="00FE127B" w:rsidP="004118E5">
      <w:pPr>
        <w:tabs>
          <w:tab w:val="left" w:pos="9214"/>
        </w:tabs>
        <w:ind w:right="-285" w:firstLine="426"/>
        <w:rPr>
          <w:sz w:val="22"/>
          <w:szCs w:val="22"/>
        </w:rPr>
      </w:pPr>
      <w:r>
        <w:rPr>
          <w:sz w:val="22"/>
          <w:szCs w:val="22"/>
        </w:rPr>
        <w:t>Entretanto, considerando que</w:t>
      </w:r>
      <w:r w:rsidR="004118E5">
        <w:rPr>
          <w:sz w:val="22"/>
          <w:szCs w:val="22"/>
        </w:rPr>
        <w:t>, conforme disposto no § 2º do art. 8º do mencionado decreto,</w:t>
      </w:r>
      <w:r>
        <w:rPr>
          <w:sz w:val="22"/>
          <w:szCs w:val="22"/>
        </w:rPr>
        <w:t xml:space="preserve"> </w:t>
      </w:r>
      <w:r w:rsidR="004118E5">
        <w:rPr>
          <w:sz w:val="22"/>
          <w:szCs w:val="22"/>
        </w:rPr>
        <w:t>a</w:t>
      </w:r>
      <w:r w:rsidR="004118E5" w:rsidRPr="004118E5">
        <w:rPr>
          <w:sz w:val="22"/>
          <w:szCs w:val="22"/>
        </w:rPr>
        <w:t xml:space="preserve"> apropriação d</w:t>
      </w:r>
      <w:r w:rsidR="004118E5">
        <w:rPr>
          <w:sz w:val="22"/>
          <w:szCs w:val="22"/>
        </w:rPr>
        <w:t>o</w:t>
      </w:r>
      <w:r w:rsidR="004118E5" w:rsidRPr="004118E5">
        <w:rPr>
          <w:sz w:val="22"/>
          <w:szCs w:val="22"/>
        </w:rPr>
        <w:t xml:space="preserve"> crédito </w:t>
      </w:r>
      <w:r w:rsidR="004118E5">
        <w:rPr>
          <w:sz w:val="22"/>
          <w:szCs w:val="22"/>
        </w:rPr>
        <w:t>presumido feito</w:t>
      </w:r>
      <w:r w:rsidR="004118E5" w:rsidRPr="004118E5">
        <w:rPr>
          <w:sz w:val="22"/>
          <w:szCs w:val="22"/>
        </w:rPr>
        <w:t xml:space="preserve"> mensalmente, correspondendo a, no máximo, valor equivalente a 4% (quatro por cento) do ICMS a recolher no período, somente </w:t>
      </w:r>
      <w:r w:rsidR="004118E5">
        <w:rPr>
          <w:sz w:val="22"/>
          <w:szCs w:val="22"/>
        </w:rPr>
        <w:t xml:space="preserve">pode ser </w:t>
      </w:r>
      <w:r w:rsidR="004118E5" w:rsidRPr="004118E5">
        <w:rPr>
          <w:sz w:val="22"/>
          <w:szCs w:val="22"/>
        </w:rPr>
        <w:t>apropria</w:t>
      </w:r>
      <w:r w:rsidR="004118E5">
        <w:rPr>
          <w:sz w:val="22"/>
          <w:szCs w:val="22"/>
        </w:rPr>
        <w:t>do</w:t>
      </w:r>
      <w:r w:rsidR="004118E5" w:rsidRPr="004118E5">
        <w:rPr>
          <w:sz w:val="22"/>
          <w:szCs w:val="22"/>
        </w:rPr>
        <w:t xml:space="preserve"> </w:t>
      </w:r>
      <w:r w:rsidR="004118E5">
        <w:rPr>
          <w:sz w:val="22"/>
          <w:szCs w:val="22"/>
        </w:rPr>
        <w:t>até o</w:t>
      </w:r>
      <w:r w:rsidR="004118E5" w:rsidRPr="004118E5">
        <w:rPr>
          <w:sz w:val="22"/>
          <w:szCs w:val="22"/>
        </w:rPr>
        <w:t xml:space="preserve"> mês de setembro de 2017</w:t>
      </w:r>
      <w:r w:rsidR="004118E5">
        <w:rPr>
          <w:sz w:val="22"/>
          <w:szCs w:val="22"/>
        </w:rPr>
        <w:t>, a consulente poderá</w:t>
      </w:r>
      <w:r w:rsidR="00AC46FB">
        <w:rPr>
          <w:sz w:val="22"/>
          <w:szCs w:val="22"/>
        </w:rPr>
        <w:t>, se for o caso,</w:t>
      </w:r>
      <w:r w:rsidR="004118E5">
        <w:rPr>
          <w:sz w:val="22"/>
          <w:szCs w:val="22"/>
        </w:rPr>
        <w:t xml:space="preserve"> se beneficiar do previsto no inciso I do art. 9º do </w:t>
      </w:r>
      <w:r w:rsidR="00C22217">
        <w:rPr>
          <w:sz w:val="22"/>
          <w:szCs w:val="22"/>
        </w:rPr>
        <w:t xml:space="preserve">Decreto </w:t>
      </w:r>
      <w:r w:rsidR="004118E5">
        <w:rPr>
          <w:sz w:val="22"/>
          <w:szCs w:val="22"/>
        </w:rPr>
        <w:t>nº 45.810/16</w:t>
      </w:r>
      <w:r w:rsidR="00C22217">
        <w:rPr>
          <w:sz w:val="22"/>
          <w:szCs w:val="22"/>
        </w:rPr>
        <w:t xml:space="preserve">, que </w:t>
      </w:r>
      <w:r w:rsidR="004118E5" w:rsidRPr="004118E5">
        <w:rPr>
          <w:sz w:val="22"/>
          <w:szCs w:val="22"/>
        </w:rPr>
        <w:t xml:space="preserve">prorroga o prazo de fruição de benefício ou incentivo fiscal, financeiro-fiscal ou financeiro </w:t>
      </w:r>
      <w:r w:rsidR="0073691C" w:rsidRPr="004118E5">
        <w:rPr>
          <w:sz w:val="22"/>
          <w:szCs w:val="22"/>
        </w:rPr>
        <w:t xml:space="preserve">concedido por prazo certo </w:t>
      </w:r>
      <w:r w:rsidR="004118E5" w:rsidRPr="004118E5">
        <w:rPr>
          <w:sz w:val="22"/>
          <w:szCs w:val="22"/>
        </w:rPr>
        <w:t xml:space="preserve">de contribuinte que proceder ao depósito </w:t>
      </w:r>
      <w:r w:rsidR="0073691C">
        <w:rPr>
          <w:sz w:val="22"/>
          <w:szCs w:val="22"/>
        </w:rPr>
        <w:t>do FEEF</w:t>
      </w:r>
      <w:r w:rsidR="004118E5" w:rsidRPr="004118E5">
        <w:rPr>
          <w:sz w:val="22"/>
          <w:szCs w:val="22"/>
        </w:rPr>
        <w:t>, pelo período necessário ao ressarcimento do montante depositado, independente de alteração nos atos concessivos ou normativos específicos, fica</w:t>
      </w:r>
      <w:r w:rsidR="00AC46FB">
        <w:rPr>
          <w:sz w:val="22"/>
          <w:szCs w:val="22"/>
        </w:rPr>
        <w:t>ndo</w:t>
      </w:r>
      <w:r w:rsidR="004118E5" w:rsidRPr="004118E5">
        <w:rPr>
          <w:sz w:val="22"/>
          <w:szCs w:val="22"/>
        </w:rPr>
        <w:t xml:space="preserve"> prorrogado por </w:t>
      </w:r>
      <w:r w:rsidR="00AC46FB">
        <w:rPr>
          <w:sz w:val="22"/>
          <w:szCs w:val="22"/>
        </w:rPr>
        <w:t>1 (</w:t>
      </w:r>
      <w:r w:rsidR="004118E5" w:rsidRPr="004118E5">
        <w:rPr>
          <w:sz w:val="22"/>
          <w:szCs w:val="22"/>
        </w:rPr>
        <w:t>um</w:t>
      </w:r>
      <w:r w:rsidR="00AC46FB">
        <w:rPr>
          <w:sz w:val="22"/>
          <w:szCs w:val="22"/>
        </w:rPr>
        <w:t>)</w:t>
      </w:r>
      <w:r w:rsidR="004118E5" w:rsidRPr="004118E5">
        <w:rPr>
          <w:sz w:val="22"/>
          <w:szCs w:val="22"/>
        </w:rPr>
        <w:t xml:space="preserve"> mês a cada </w:t>
      </w:r>
      <w:r w:rsidR="00AC46FB">
        <w:rPr>
          <w:sz w:val="22"/>
          <w:szCs w:val="22"/>
        </w:rPr>
        <w:t>10 (</w:t>
      </w:r>
      <w:r w:rsidR="004118E5" w:rsidRPr="004118E5">
        <w:rPr>
          <w:sz w:val="22"/>
          <w:szCs w:val="22"/>
        </w:rPr>
        <w:t>dez</w:t>
      </w:r>
      <w:r w:rsidR="00AC46FB">
        <w:rPr>
          <w:sz w:val="22"/>
          <w:szCs w:val="22"/>
        </w:rPr>
        <w:t>)</w:t>
      </w:r>
      <w:r w:rsidR="004118E5" w:rsidRPr="004118E5">
        <w:rPr>
          <w:sz w:val="22"/>
          <w:szCs w:val="22"/>
        </w:rPr>
        <w:t xml:space="preserve"> meses em que </w:t>
      </w:r>
      <w:r w:rsidR="008F7AC2">
        <w:rPr>
          <w:sz w:val="22"/>
          <w:szCs w:val="22"/>
        </w:rPr>
        <w:t xml:space="preserve">forem </w:t>
      </w:r>
      <w:r w:rsidR="004118E5" w:rsidRPr="004118E5">
        <w:rPr>
          <w:sz w:val="22"/>
          <w:szCs w:val="22"/>
        </w:rPr>
        <w:t>realizados depósitos no FEEF, ou fração</w:t>
      </w:r>
      <w:r w:rsidR="00AC46FB">
        <w:rPr>
          <w:sz w:val="22"/>
          <w:szCs w:val="22"/>
        </w:rPr>
        <w:t>.</w:t>
      </w:r>
      <w:r w:rsidR="004118E5">
        <w:rPr>
          <w:sz w:val="22"/>
          <w:szCs w:val="22"/>
        </w:rPr>
        <w:t xml:space="preserve"> </w:t>
      </w:r>
    </w:p>
    <w:p w:rsidR="00320C8C" w:rsidRDefault="004118E5" w:rsidP="004118E5">
      <w:pPr>
        <w:tabs>
          <w:tab w:val="left" w:pos="9214"/>
        </w:tabs>
        <w:ind w:right="-285" w:firstLine="426"/>
        <w:rPr>
          <w:sz w:val="22"/>
          <w:szCs w:val="22"/>
        </w:rPr>
      </w:pPr>
      <w:r w:rsidRPr="004118E5">
        <w:rPr>
          <w:sz w:val="22"/>
          <w:szCs w:val="22"/>
        </w:rPr>
        <w:t>.</w:t>
      </w:r>
    </w:p>
    <w:p w:rsidR="004C2E9A" w:rsidRPr="0002447A" w:rsidRDefault="004C2E9A" w:rsidP="00437660">
      <w:pPr>
        <w:tabs>
          <w:tab w:val="left" w:pos="9214"/>
        </w:tabs>
        <w:ind w:right="-285" w:firstLine="426"/>
        <w:rPr>
          <w:sz w:val="22"/>
          <w:szCs w:val="22"/>
        </w:rPr>
      </w:pPr>
      <w:r w:rsidRPr="0002447A">
        <w:rPr>
          <w:sz w:val="22"/>
          <w:szCs w:val="22"/>
        </w:rPr>
        <w:t xml:space="preserve">Em, </w:t>
      </w:r>
      <w:r w:rsidR="00B5092B">
        <w:rPr>
          <w:sz w:val="22"/>
          <w:szCs w:val="22"/>
        </w:rPr>
        <w:t>1</w:t>
      </w:r>
      <w:r w:rsidR="00AC46FB">
        <w:rPr>
          <w:sz w:val="22"/>
          <w:szCs w:val="22"/>
        </w:rPr>
        <w:t>8</w:t>
      </w:r>
      <w:r w:rsidR="00EA0661" w:rsidRPr="0002447A">
        <w:rPr>
          <w:sz w:val="22"/>
          <w:szCs w:val="22"/>
        </w:rPr>
        <w:t xml:space="preserve"> de </w:t>
      </w:r>
      <w:r w:rsidR="00B5092B">
        <w:rPr>
          <w:sz w:val="22"/>
          <w:szCs w:val="22"/>
        </w:rPr>
        <w:t>maio</w:t>
      </w:r>
      <w:r w:rsidR="00EA0661" w:rsidRPr="0002447A">
        <w:rPr>
          <w:sz w:val="22"/>
          <w:szCs w:val="22"/>
        </w:rPr>
        <w:t xml:space="preserve"> de 2017</w:t>
      </w:r>
    </w:p>
    <w:p w:rsidR="004C2E9A" w:rsidRDefault="004C2E9A" w:rsidP="00565A07">
      <w:pPr>
        <w:ind w:right="-169" w:firstLine="426"/>
        <w:rPr>
          <w:sz w:val="22"/>
          <w:szCs w:val="22"/>
        </w:rPr>
      </w:pPr>
    </w:p>
    <w:sectPr w:rsidR="004C2E9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31" w:rsidRDefault="00325931" w:rsidP="0067740F">
      <w:r>
        <w:separator/>
      </w:r>
    </w:p>
  </w:endnote>
  <w:endnote w:type="continuationSeparator" w:id="0">
    <w:p w:rsidR="00325931" w:rsidRDefault="00325931" w:rsidP="0067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31" w:rsidRDefault="00325931" w:rsidP="0067740F">
      <w:r>
        <w:separator/>
      </w:r>
    </w:p>
  </w:footnote>
  <w:footnote w:type="continuationSeparator" w:id="0">
    <w:p w:rsidR="00325931" w:rsidRDefault="00325931" w:rsidP="00677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5" w:type="dxa"/>
      <w:tblLayout w:type="fixed"/>
      <w:tblCellMar>
        <w:left w:w="70" w:type="dxa"/>
        <w:right w:w="70" w:type="dxa"/>
      </w:tblCellMar>
      <w:tblLook w:val="04A0" w:firstRow="1" w:lastRow="0" w:firstColumn="1" w:lastColumn="0" w:noHBand="0" w:noVBand="1"/>
    </w:tblPr>
    <w:tblGrid>
      <w:gridCol w:w="6310"/>
      <w:gridCol w:w="2765"/>
    </w:tblGrid>
    <w:tr w:rsidR="00325931" w:rsidRPr="0055216D" w:rsidTr="00380DD2">
      <w:trPr>
        <w:cantSplit/>
        <w:trHeight w:val="1180"/>
      </w:trPr>
      <w:tc>
        <w:tcPr>
          <w:tcW w:w="6307" w:type="dxa"/>
        </w:tcPr>
        <w:p w:rsidR="00325931" w:rsidRPr="0055216D" w:rsidRDefault="00325931" w:rsidP="00380DD2">
          <w:pPr>
            <w:pStyle w:val="Cabealho"/>
            <w:spacing w:line="276" w:lineRule="auto"/>
            <w:ind w:left="1276"/>
            <w:jc w:val="center"/>
            <w:rPr>
              <w:rFonts w:ascii="Arial" w:hAnsi="Arial" w:cs="Arial"/>
              <w:b/>
              <w:sz w:val="20"/>
            </w:rPr>
          </w:pPr>
          <w:r>
            <w:rPr>
              <w:noProof/>
              <w:szCs w:val="24"/>
            </w:rPr>
            <w:drawing>
              <wp:inline distT="0" distB="0" distL="0" distR="0" wp14:anchorId="78769CA5" wp14:editId="79644E3D">
                <wp:extent cx="914400" cy="897255"/>
                <wp:effectExtent l="0" t="0" r="0" b="0"/>
                <wp:docPr id="3" name="Imagem 3"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7255"/>
                        </a:xfrm>
                        <a:prstGeom prst="rect">
                          <a:avLst/>
                        </a:prstGeom>
                        <a:noFill/>
                        <a:ln>
                          <a:noFill/>
                        </a:ln>
                      </pic:spPr>
                    </pic:pic>
                  </a:graphicData>
                </a:graphic>
              </wp:inline>
            </w:drawing>
          </w:r>
        </w:p>
        <w:p w:rsidR="00325931" w:rsidRPr="008C5552" w:rsidRDefault="00325931" w:rsidP="00380DD2">
          <w:pPr>
            <w:ind w:left="851"/>
            <w:jc w:val="center"/>
            <w:rPr>
              <w:b/>
              <w:sz w:val="20"/>
              <w:lang w:eastAsia="en-US"/>
            </w:rPr>
          </w:pPr>
          <w:r w:rsidRPr="008C5552">
            <w:rPr>
              <w:b/>
              <w:sz w:val="20"/>
            </w:rPr>
            <w:t>Governo do Estado do Rio de Janeiro</w:t>
          </w:r>
        </w:p>
        <w:p w:rsidR="00325931" w:rsidRPr="008C5552" w:rsidRDefault="00325931" w:rsidP="00380DD2">
          <w:pPr>
            <w:ind w:left="851"/>
            <w:jc w:val="center"/>
            <w:rPr>
              <w:b/>
              <w:sz w:val="20"/>
            </w:rPr>
          </w:pPr>
          <w:r w:rsidRPr="008C5552">
            <w:rPr>
              <w:b/>
              <w:sz w:val="20"/>
            </w:rPr>
            <w:t>Secretaria de Estado de Fazenda</w:t>
          </w:r>
          <w:r>
            <w:rPr>
              <w:b/>
              <w:sz w:val="20"/>
            </w:rPr>
            <w:t xml:space="preserve"> e Planejamento</w:t>
          </w:r>
        </w:p>
        <w:p w:rsidR="00325931" w:rsidRDefault="00325931" w:rsidP="00380DD2">
          <w:pPr>
            <w:ind w:left="851"/>
            <w:jc w:val="center"/>
            <w:rPr>
              <w:b/>
              <w:sz w:val="20"/>
            </w:rPr>
          </w:pPr>
          <w:r w:rsidRPr="008C5552">
            <w:rPr>
              <w:b/>
              <w:sz w:val="20"/>
            </w:rPr>
            <w:t>Superintendência de Tributação</w:t>
          </w:r>
        </w:p>
        <w:p w:rsidR="00325931" w:rsidRPr="0055216D" w:rsidRDefault="00325931" w:rsidP="00B949FD">
          <w:pPr>
            <w:ind w:left="851"/>
            <w:jc w:val="center"/>
            <w:rPr>
              <w:rFonts w:ascii="Arial" w:hAnsi="Arial" w:cs="Arial"/>
              <w:b/>
            </w:rPr>
          </w:pPr>
        </w:p>
      </w:tc>
      <w:tc>
        <w:tcPr>
          <w:tcW w:w="2763" w:type="dxa"/>
          <w:hideMark/>
        </w:tcPr>
        <w:p w:rsidR="00325931" w:rsidRDefault="00325931" w:rsidP="00380DD2"/>
        <w:tbl>
          <w:tblPr>
            <w:tblpPr w:leftFromText="141" w:rightFromText="141" w:vertAnchor="page" w:horzAnchor="margin" w:tblpY="361"/>
            <w:tblOverlap w:val="never"/>
            <w:tblW w:w="259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595"/>
          </w:tblGrid>
          <w:tr w:rsidR="00325931" w:rsidTr="00380DD2">
            <w:trPr>
              <w:cantSplit/>
              <w:trHeight w:val="272"/>
            </w:trPr>
            <w:tc>
              <w:tcPr>
                <w:tcW w:w="2595" w:type="dxa"/>
                <w:tcBorders>
                  <w:top w:val="single" w:sz="18" w:space="0" w:color="auto"/>
                  <w:left w:val="single" w:sz="18" w:space="0" w:color="auto"/>
                  <w:bottom w:val="nil"/>
                  <w:right w:val="single" w:sz="18" w:space="0" w:color="auto"/>
                </w:tcBorders>
                <w:hideMark/>
              </w:tcPr>
              <w:p w:rsidR="00325931" w:rsidRPr="00B6462F" w:rsidRDefault="00325931" w:rsidP="00380DD2">
                <w:pPr>
                  <w:pStyle w:val="Cabealho"/>
                  <w:snapToGrid w:val="0"/>
                  <w:jc w:val="center"/>
                  <w:rPr>
                    <w:b/>
                    <w:sz w:val="20"/>
                  </w:rPr>
                </w:pPr>
                <w:r w:rsidRPr="00B6462F">
                  <w:rPr>
                    <w:b/>
                    <w:sz w:val="20"/>
                  </w:rPr>
                  <w:t>Serviço Público Estadual</w:t>
                </w:r>
              </w:p>
            </w:tc>
          </w:tr>
          <w:tr w:rsidR="00325931" w:rsidTr="00380DD2">
            <w:trPr>
              <w:cantSplit/>
              <w:trHeight w:val="273"/>
            </w:trPr>
            <w:tc>
              <w:tcPr>
                <w:tcW w:w="2595" w:type="dxa"/>
                <w:tcBorders>
                  <w:top w:val="nil"/>
                  <w:left w:val="single" w:sz="18" w:space="0" w:color="auto"/>
                  <w:bottom w:val="nil"/>
                  <w:right w:val="single" w:sz="18" w:space="0" w:color="auto"/>
                </w:tcBorders>
                <w:hideMark/>
              </w:tcPr>
              <w:p w:rsidR="00325931" w:rsidRPr="00B6462F" w:rsidRDefault="00325931" w:rsidP="003A2D67">
                <w:pPr>
                  <w:pStyle w:val="Cabealho"/>
                  <w:snapToGrid w:val="0"/>
                  <w:rPr>
                    <w:sz w:val="20"/>
                  </w:rPr>
                </w:pPr>
                <w:r w:rsidRPr="00B6462F">
                  <w:rPr>
                    <w:sz w:val="20"/>
                  </w:rPr>
                  <w:t>Proc. n° E-0</w:t>
                </w:r>
                <w:r>
                  <w:rPr>
                    <w:sz w:val="20"/>
                  </w:rPr>
                  <w:t>4</w:t>
                </w:r>
                <w:r w:rsidRPr="00B6462F">
                  <w:rPr>
                    <w:sz w:val="20"/>
                  </w:rPr>
                  <w:t>/</w:t>
                </w:r>
                <w:r>
                  <w:rPr>
                    <w:sz w:val="20"/>
                  </w:rPr>
                  <w:t>079/1582/17</w:t>
                </w:r>
              </w:p>
            </w:tc>
          </w:tr>
          <w:tr w:rsidR="00325931" w:rsidTr="00380DD2">
            <w:trPr>
              <w:cantSplit/>
              <w:trHeight w:val="272"/>
            </w:trPr>
            <w:tc>
              <w:tcPr>
                <w:tcW w:w="2595" w:type="dxa"/>
                <w:tcBorders>
                  <w:top w:val="nil"/>
                  <w:left w:val="single" w:sz="18" w:space="0" w:color="auto"/>
                  <w:bottom w:val="nil"/>
                  <w:right w:val="single" w:sz="18" w:space="0" w:color="auto"/>
                </w:tcBorders>
                <w:hideMark/>
              </w:tcPr>
              <w:p w:rsidR="00325931" w:rsidRPr="00B6462F" w:rsidRDefault="00325931" w:rsidP="003A2D67">
                <w:pPr>
                  <w:pStyle w:val="Cabealho"/>
                  <w:snapToGrid w:val="0"/>
                  <w:rPr>
                    <w:sz w:val="20"/>
                  </w:rPr>
                </w:pPr>
                <w:r w:rsidRPr="00B6462F">
                  <w:rPr>
                    <w:sz w:val="20"/>
                  </w:rPr>
                  <w:t xml:space="preserve">Data: </w:t>
                </w:r>
                <w:r>
                  <w:rPr>
                    <w:sz w:val="20"/>
                  </w:rPr>
                  <w:t>20/04</w:t>
                </w:r>
                <w:r w:rsidRPr="00B6462F">
                  <w:rPr>
                    <w:sz w:val="20"/>
                  </w:rPr>
                  <w:t>/</w:t>
                </w:r>
                <w:r>
                  <w:rPr>
                    <w:sz w:val="20"/>
                  </w:rPr>
                  <w:t>17</w:t>
                </w:r>
                <w:r w:rsidRPr="00B6462F">
                  <w:rPr>
                    <w:sz w:val="20"/>
                  </w:rPr>
                  <w:t xml:space="preserve"> </w:t>
                </w:r>
                <w:r>
                  <w:rPr>
                    <w:sz w:val="20"/>
                  </w:rPr>
                  <w:t>-</w:t>
                </w:r>
                <w:r w:rsidRPr="00B6462F">
                  <w:rPr>
                    <w:sz w:val="20"/>
                  </w:rPr>
                  <w:t xml:space="preserve"> Fls.</w:t>
                </w:r>
                <w:r>
                  <w:rPr>
                    <w:sz w:val="20"/>
                  </w:rPr>
                  <w:t xml:space="preserve"> </w:t>
                </w:r>
                <w:r w:rsidRPr="003A2D67">
                  <w:rPr>
                    <w:sz w:val="20"/>
                  </w:rPr>
                  <w:fldChar w:fldCharType="begin"/>
                </w:r>
                <w:r w:rsidRPr="003A2D67">
                  <w:rPr>
                    <w:sz w:val="20"/>
                  </w:rPr>
                  <w:instrText>PAGE   \* MERGEFORMAT</w:instrText>
                </w:r>
                <w:r w:rsidRPr="003A2D67">
                  <w:rPr>
                    <w:sz w:val="20"/>
                  </w:rPr>
                  <w:fldChar w:fldCharType="separate"/>
                </w:r>
                <w:r w:rsidR="00BD5521">
                  <w:rPr>
                    <w:noProof/>
                    <w:sz w:val="20"/>
                  </w:rPr>
                  <w:t>1</w:t>
                </w:r>
                <w:r w:rsidRPr="003A2D67">
                  <w:rPr>
                    <w:sz w:val="20"/>
                  </w:rPr>
                  <w:fldChar w:fldCharType="end"/>
                </w:r>
              </w:p>
            </w:tc>
          </w:tr>
          <w:tr w:rsidR="00325931" w:rsidTr="00380DD2">
            <w:trPr>
              <w:cantSplit/>
              <w:trHeight w:val="273"/>
            </w:trPr>
            <w:tc>
              <w:tcPr>
                <w:tcW w:w="2595" w:type="dxa"/>
                <w:tcBorders>
                  <w:top w:val="nil"/>
                  <w:left w:val="single" w:sz="18" w:space="0" w:color="auto"/>
                  <w:bottom w:val="single" w:sz="18" w:space="0" w:color="auto"/>
                  <w:right w:val="single" w:sz="18" w:space="0" w:color="auto"/>
                </w:tcBorders>
                <w:hideMark/>
              </w:tcPr>
              <w:p w:rsidR="00325931" w:rsidRDefault="00325931" w:rsidP="00380DD2">
                <w:pPr>
                  <w:pStyle w:val="Cabealho"/>
                  <w:snapToGrid w:val="0"/>
                  <w:rPr>
                    <w:sz w:val="20"/>
                  </w:rPr>
                </w:pPr>
                <w:r w:rsidRPr="00B6462F">
                  <w:rPr>
                    <w:sz w:val="20"/>
                  </w:rPr>
                  <w:t>Rubrica: _____________</w:t>
                </w:r>
              </w:p>
              <w:p w:rsidR="00325931" w:rsidRPr="00542EA5" w:rsidRDefault="00325931" w:rsidP="008B7E4F">
                <w:pPr>
                  <w:pStyle w:val="Cabealho"/>
                  <w:snapToGrid w:val="0"/>
                  <w:jc w:val="right"/>
                  <w:rPr>
                    <w:sz w:val="18"/>
                    <w:szCs w:val="18"/>
                  </w:rPr>
                </w:pPr>
              </w:p>
            </w:tc>
          </w:tr>
        </w:tbl>
        <w:p w:rsidR="00325931" w:rsidRPr="0055216D" w:rsidRDefault="00325931" w:rsidP="00380DD2">
          <w:pPr>
            <w:pStyle w:val="Cabealho"/>
            <w:spacing w:line="276" w:lineRule="auto"/>
            <w:ind w:right="-70"/>
            <w:jc w:val="center"/>
            <w:rPr>
              <w:rFonts w:ascii="Arial" w:hAnsi="Arial" w:cs="Arial"/>
              <w:b/>
              <w:sz w:val="20"/>
            </w:rPr>
          </w:pPr>
        </w:p>
      </w:tc>
    </w:tr>
  </w:tbl>
  <w:p w:rsidR="00325931" w:rsidRDefault="00325931" w:rsidP="00565A0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175"/>
    <w:multiLevelType w:val="hybridMultilevel"/>
    <w:tmpl w:val="626E9926"/>
    <w:lvl w:ilvl="0" w:tplc="047076A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17F42CDA"/>
    <w:multiLevelType w:val="hybridMultilevel"/>
    <w:tmpl w:val="CB8E8C08"/>
    <w:lvl w:ilvl="0" w:tplc="61AEDAAE">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306418FD"/>
    <w:multiLevelType w:val="hybridMultilevel"/>
    <w:tmpl w:val="1EFE45B6"/>
    <w:lvl w:ilvl="0" w:tplc="A3429DD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45E934DD"/>
    <w:multiLevelType w:val="hybridMultilevel"/>
    <w:tmpl w:val="69B24E52"/>
    <w:lvl w:ilvl="0" w:tplc="B2C83E5A">
      <w:start w:val="1"/>
      <w:numFmt w:val="decimal"/>
      <w:lvlText w:val="%1)"/>
      <w:lvlJc w:val="left"/>
      <w:pPr>
        <w:ind w:left="1101" w:hanging="67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14"/>
    <w:rsid w:val="0002046C"/>
    <w:rsid w:val="0002447A"/>
    <w:rsid w:val="00027780"/>
    <w:rsid w:val="0004057D"/>
    <w:rsid w:val="0004610E"/>
    <w:rsid w:val="000670B2"/>
    <w:rsid w:val="000A5FAC"/>
    <w:rsid w:val="000B25C7"/>
    <w:rsid w:val="000C2D31"/>
    <w:rsid w:val="000F3FF4"/>
    <w:rsid w:val="00182CFF"/>
    <w:rsid w:val="00197185"/>
    <w:rsid w:val="001F3869"/>
    <w:rsid w:val="001F77F4"/>
    <w:rsid w:val="001F7993"/>
    <w:rsid w:val="00222294"/>
    <w:rsid w:val="002227A5"/>
    <w:rsid w:val="00223222"/>
    <w:rsid w:val="00223D2A"/>
    <w:rsid w:val="0023140E"/>
    <w:rsid w:val="00263D8B"/>
    <w:rsid w:val="00272037"/>
    <w:rsid w:val="00276CC8"/>
    <w:rsid w:val="002B270D"/>
    <w:rsid w:val="002D482C"/>
    <w:rsid w:val="002D5F67"/>
    <w:rsid w:val="00320C8C"/>
    <w:rsid w:val="00325931"/>
    <w:rsid w:val="00326718"/>
    <w:rsid w:val="00327AC3"/>
    <w:rsid w:val="00340114"/>
    <w:rsid w:val="003439C9"/>
    <w:rsid w:val="00380DD2"/>
    <w:rsid w:val="003A2D67"/>
    <w:rsid w:val="003A4777"/>
    <w:rsid w:val="003D5FE0"/>
    <w:rsid w:val="00400298"/>
    <w:rsid w:val="0040623D"/>
    <w:rsid w:val="004118E5"/>
    <w:rsid w:val="00437660"/>
    <w:rsid w:val="00460A53"/>
    <w:rsid w:val="00473DD8"/>
    <w:rsid w:val="004B1F6D"/>
    <w:rsid w:val="004B2DA1"/>
    <w:rsid w:val="004C2E9A"/>
    <w:rsid w:val="004E2666"/>
    <w:rsid w:val="00552D14"/>
    <w:rsid w:val="00565A07"/>
    <w:rsid w:val="00567B39"/>
    <w:rsid w:val="005729F6"/>
    <w:rsid w:val="00632DAC"/>
    <w:rsid w:val="00642491"/>
    <w:rsid w:val="00645386"/>
    <w:rsid w:val="006564C4"/>
    <w:rsid w:val="0067740F"/>
    <w:rsid w:val="006908F1"/>
    <w:rsid w:val="006A3FA7"/>
    <w:rsid w:val="006B649F"/>
    <w:rsid w:val="006F11DA"/>
    <w:rsid w:val="006F3066"/>
    <w:rsid w:val="0070606B"/>
    <w:rsid w:val="0073691C"/>
    <w:rsid w:val="00737AF7"/>
    <w:rsid w:val="0075034A"/>
    <w:rsid w:val="00770537"/>
    <w:rsid w:val="008061DC"/>
    <w:rsid w:val="008224D0"/>
    <w:rsid w:val="008228FE"/>
    <w:rsid w:val="00845D2D"/>
    <w:rsid w:val="0088653B"/>
    <w:rsid w:val="008A10B8"/>
    <w:rsid w:val="008B5A4D"/>
    <w:rsid w:val="008B7E4F"/>
    <w:rsid w:val="008C483C"/>
    <w:rsid w:val="008C5552"/>
    <w:rsid w:val="008D6637"/>
    <w:rsid w:val="008E4558"/>
    <w:rsid w:val="008E69E6"/>
    <w:rsid w:val="008F7AC2"/>
    <w:rsid w:val="00901E1A"/>
    <w:rsid w:val="00921F8D"/>
    <w:rsid w:val="009226C9"/>
    <w:rsid w:val="00922F0C"/>
    <w:rsid w:val="009319C2"/>
    <w:rsid w:val="00993CCF"/>
    <w:rsid w:val="009A6F07"/>
    <w:rsid w:val="009D101B"/>
    <w:rsid w:val="009E6661"/>
    <w:rsid w:val="009F1DA6"/>
    <w:rsid w:val="00A360EB"/>
    <w:rsid w:val="00A64BBD"/>
    <w:rsid w:val="00A67DC6"/>
    <w:rsid w:val="00A802A9"/>
    <w:rsid w:val="00A86A44"/>
    <w:rsid w:val="00AA557B"/>
    <w:rsid w:val="00AB4A5D"/>
    <w:rsid w:val="00AC46FB"/>
    <w:rsid w:val="00B02718"/>
    <w:rsid w:val="00B261CD"/>
    <w:rsid w:val="00B5092B"/>
    <w:rsid w:val="00B949FD"/>
    <w:rsid w:val="00B977BE"/>
    <w:rsid w:val="00BB08C1"/>
    <w:rsid w:val="00BC4751"/>
    <w:rsid w:val="00BC70DE"/>
    <w:rsid w:val="00BD5521"/>
    <w:rsid w:val="00BF0AF1"/>
    <w:rsid w:val="00C22217"/>
    <w:rsid w:val="00C633F4"/>
    <w:rsid w:val="00C9776F"/>
    <w:rsid w:val="00CA63C9"/>
    <w:rsid w:val="00CB1579"/>
    <w:rsid w:val="00CF54A5"/>
    <w:rsid w:val="00D54EF8"/>
    <w:rsid w:val="00D564DF"/>
    <w:rsid w:val="00D70F4D"/>
    <w:rsid w:val="00D7516A"/>
    <w:rsid w:val="00D82284"/>
    <w:rsid w:val="00D96FED"/>
    <w:rsid w:val="00DA1F5E"/>
    <w:rsid w:val="00DA5B8E"/>
    <w:rsid w:val="00DB3FCD"/>
    <w:rsid w:val="00DD55B4"/>
    <w:rsid w:val="00E1464E"/>
    <w:rsid w:val="00E1763C"/>
    <w:rsid w:val="00E968B5"/>
    <w:rsid w:val="00EA0661"/>
    <w:rsid w:val="00EE634D"/>
    <w:rsid w:val="00F350FF"/>
    <w:rsid w:val="00F622F9"/>
    <w:rsid w:val="00F70367"/>
    <w:rsid w:val="00F77F55"/>
    <w:rsid w:val="00F82EC6"/>
    <w:rsid w:val="00F87526"/>
    <w:rsid w:val="00F927A6"/>
    <w:rsid w:val="00FA1E5C"/>
    <w:rsid w:val="00FA2A8C"/>
    <w:rsid w:val="00FA2F46"/>
    <w:rsid w:val="00FE12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14"/>
    <w:pPr>
      <w:spacing w:after="0" w:line="240" w:lineRule="auto"/>
      <w:jc w:val="both"/>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340114"/>
    <w:pPr>
      <w:keepNext/>
      <w:ind w:right="75"/>
      <w:outlineLvl w:val="0"/>
    </w:pPr>
    <w:rPr>
      <w:rFonts w:ascii="Arial" w:hAnsi="Arial" w:cs="Arial"/>
      <w:b/>
      <w:bCs/>
      <w:smallCaps/>
      <w:sz w:val="22"/>
    </w:rPr>
  </w:style>
  <w:style w:type="paragraph" w:styleId="Ttulo2">
    <w:name w:val="heading 2"/>
    <w:basedOn w:val="Normal"/>
    <w:next w:val="Normal"/>
    <w:link w:val="Ttulo2Char"/>
    <w:unhideWhenUsed/>
    <w:qFormat/>
    <w:rsid w:val="00340114"/>
    <w:pPr>
      <w:keepNext/>
      <w:ind w:left="68"/>
      <w:outlineLvl w:val="1"/>
    </w:pPr>
    <w:rPr>
      <w:rFonts w:ascii="Arial" w:hAnsi="Arial" w:cs="Arial"/>
      <w:b/>
      <w:bCs/>
      <w:smallCap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0114"/>
    <w:rPr>
      <w:rFonts w:ascii="Arial" w:eastAsia="Times New Roman" w:hAnsi="Arial" w:cs="Arial"/>
      <w:b/>
      <w:bCs/>
      <w:smallCaps/>
      <w:szCs w:val="20"/>
      <w:lang w:eastAsia="pt-BR"/>
    </w:rPr>
  </w:style>
  <w:style w:type="character" w:customStyle="1" w:styleId="Ttulo2Char">
    <w:name w:val="Título 2 Char"/>
    <w:basedOn w:val="Fontepargpadro"/>
    <w:link w:val="Ttulo2"/>
    <w:rsid w:val="00340114"/>
    <w:rPr>
      <w:rFonts w:ascii="Arial" w:eastAsia="Times New Roman" w:hAnsi="Arial" w:cs="Arial"/>
      <w:b/>
      <w:bCs/>
      <w:smallCaps/>
      <w:szCs w:val="20"/>
      <w:lang w:eastAsia="pt-BR"/>
    </w:rPr>
  </w:style>
  <w:style w:type="paragraph" w:styleId="NormalWeb">
    <w:name w:val="Normal (Web)"/>
    <w:basedOn w:val="Normal"/>
    <w:uiPriority w:val="99"/>
    <w:unhideWhenUsed/>
    <w:rsid w:val="00340114"/>
    <w:pPr>
      <w:spacing w:before="100" w:beforeAutospacing="1" w:after="100" w:afterAutospacing="1"/>
      <w:jc w:val="left"/>
    </w:pPr>
    <w:rPr>
      <w:color w:val="000000"/>
      <w:szCs w:val="24"/>
    </w:rPr>
  </w:style>
  <w:style w:type="paragraph" w:styleId="Cabealho">
    <w:name w:val="header"/>
    <w:basedOn w:val="Normal"/>
    <w:link w:val="CabealhoChar"/>
    <w:uiPriority w:val="99"/>
    <w:unhideWhenUsed/>
    <w:rsid w:val="0067740F"/>
    <w:pPr>
      <w:tabs>
        <w:tab w:val="center" w:pos="4252"/>
        <w:tab w:val="right" w:pos="8504"/>
      </w:tabs>
    </w:pPr>
  </w:style>
  <w:style w:type="character" w:customStyle="1" w:styleId="CabealhoChar">
    <w:name w:val="Cabeçalho Char"/>
    <w:basedOn w:val="Fontepargpadro"/>
    <w:link w:val="Cabealho"/>
    <w:uiPriority w:val="99"/>
    <w:rsid w:val="0067740F"/>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67740F"/>
    <w:pPr>
      <w:tabs>
        <w:tab w:val="center" w:pos="4252"/>
        <w:tab w:val="right" w:pos="8504"/>
      </w:tabs>
    </w:pPr>
  </w:style>
  <w:style w:type="character" w:customStyle="1" w:styleId="RodapChar">
    <w:name w:val="Rodapé Char"/>
    <w:basedOn w:val="Fontepargpadro"/>
    <w:link w:val="Rodap"/>
    <w:uiPriority w:val="99"/>
    <w:rsid w:val="0067740F"/>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67740F"/>
    <w:rPr>
      <w:rFonts w:ascii="Tahoma" w:hAnsi="Tahoma" w:cs="Tahoma"/>
      <w:sz w:val="16"/>
      <w:szCs w:val="16"/>
    </w:rPr>
  </w:style>
  <w:style w:type="character" w:customStyle="1" w:styleId="TextodebaloChar">
    <w:name w:val="Texto de balão Char"/>
    <w:basedOn w:val="Fontepargpadro"/>
    <w:link w:val="Textodebalo"/>
    <w:uiPriority w:val="99"/>
    <w:semiHidden/>
    <w:rsid w:val="0067740F"/>
    <w:rPr>
      <w:rFonts w:ascii="Tahoma" w:eastAsia="Times New Roman" w:hAnsi="Tahoma" w:cs="Tahoma"/>
      <w:sz w:val="16"/>
      <w:szCs w:val="16"/>
      <w:lang w:eastAsia="pt-BR"/>
    </w:rPr>
  </w:style>
  <w:style w:type="character" w:styleId="Forte">
    <w:name w:val="Strong"/>
    <w:basedOn w:val="Fontepargpadro"/>
    <w:uiPriority w:val="22"/>
    <w:qFormat/>
    <w:rsid w:val="006908F1"/>
    <w:rPr>
      <w:b/>
      <w:bCs/>
    </w:rPr>
  </w:style>
  <w:style w:type="paragraph" w:styleId="Textodenotadefim">
    <w:name w:val="endnote text"/>
    <w:basedOn w:val="Normal"/>
    <w:link w:val="TextodenotadefimChar"/>
    <w:uiPriority w:val="99"/>
    <w:semiHidden/>
    <w:unhideWhenUsed/>
    <w:rsid w:val="00F82EC6"/>
    <w:rPr>
      <w:sz w:val="20"/>
    </w:rPr>
  </w:style>
  <w:style w:type="character" w:customStyle="1" w:styleId="TextodenotadefimChar">
    <w:name w:val="Texto de nota de fim Char"/>
    <w:basedOn w:val="Fontepargpadro"/>
    <w:link w:val="Textodenotadefim"/>
    <w:uiPriority w:val="99"/>
    <w:semiHidden/>
    <w:rsid w:val="00F82EC6"/>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F82EC6"/>
    <w:rPr>
      <w:vertAlign w:val="superscript"/>
    </w:rPr>
  </w:style>
  <w:style w:type="paragraph" w:styleId="Textodenotaderodap">
    <w:name w:val="footnote text"/>
    <w:basedOn w:val="Normal"/>
    <w:link w:val="TextodenotaderodapChar"/>
    <w:uiPriority w:val="99"/>
    <w:semiHidden/>
    <w:unhideWhenUsed/>
    <w:rsid w:val="00272037"/>
    <w:rPr>
      <w:sz w:val="20"/>
    </w:rPr>
  </w:style>
  <w:style w:type="character" w:customStyle="1" w:styleId="TextodenotaderodapChar">
    <w:name w:val="Texto de nota de rodapé Char"/>
    <w:basedOn w:val="Fontepargpadro"/>
    <w:link w:val="Textodenotaderodap"/>
    <w:uiPriority w:val="99"/>
    <w:semiHidden/>
    <w:rsid w:val="0027203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272037"/>
    <w:rPr>
      <w:vertAlign w:val="superscript"/>
    </w:rPr>
  </w:style>
  <w:style w:type="paragraph" w:styleId="PargrafodaLista">
    <w:name w:val="List Paragraph"/>
    <w:basedOn w:val="Normal"/>
    <w:uiPriority w:val="34"/>
    <w:qFormat/>
    <w:rsid w:val="001F77F4"/>
    <w:pPr>
      <w:ind w:left="720"/>
      <w:contextualSpacing/>
    </w:pPr>
  </w:style>
  <w:style w:type="character" w:customStyle="1" w:styleId="apple-converted-space">
    <w:name w:val="apple-converted-space"/>
    <w:basedOn w:val="Fontepargpadro"/>
    <w:rsid w:val="00380DD2"/>
  </w:style>
  <w:style w:type="character" w:styleId="Hyperlink">
    <w:name w:val="Hyperlink"/>
    <w:basedOn w:val="Fontepargpadro"/>
    <w:uiPriority w:val="99"/>
    <w:semiHidden/>
    <w:unhideWhenUsed/>
    <w:rsid w:val="00CF54A5"/>
    <w:rPr>
      <w:color w:val="0000FF"/>
      <w:u w:val="single"/>
    </w:rPr>
  </w:style>
  <w:style w:type="paragraph" w:customStyle="1" w:styleId="STF-Padro">
    <w:name w:val="STF-Padrão"/>
    <w:basedOn w:val="Normal"/>
    <w:uiPriority w:val="99"/>
    <w:rsid w:val="00CF54A5"/>
    <w:pPr>
      <w:widowControl w:val="0"/>
      <w:tabs>
        <w:tab w:val="left" w:pos="1701"/>
      </w:tabs>
      <w:autoSpaceDE w:val="0"/>
      <w:autoSpaceDN w:val="0"/>
      <w:adjustRightInd w:val="0"/>
      <w:spacing w:line="264" w:lineRule="auto"/>
      <w:ind w:firstLine="567"/>
    </w:pPr>
    <w:rPr>
      <w:rFonts w:ascii="Palatino Linotype" w:eastAsiaTheme="minorEastAsia" w:cs="Palatino Linotype"/>
      <w:sz w:val="26"/>
      <w:szCs w:val="26"/>
    </w:rPr>
  </w:style>
  <w:style w:type="paragraph" w:customStyle="1" w:styleId="STF-Citao1">
    <w:name w:val="STF-Citação1"/>
    <w:basedOn w:val="Normal"/>
    <w:uiPriority w:val="99"/>
    <w:rsid w:val="00CF54A5"/>
    <w:pPr>
      <w:widowControl w:val="0"/>
      <w:autoSpaceDE w:val="0"/>
      <w:autoSpaceDN w:val="0"/>
      <w:adjustRightInd w:val="0"/>
      <w:spacing w:line="264" w:lineRule="auto"/>
      <w:ind w:left="1701" w:firstLine="567"/>
    </w:pPr>
    <w:rPr>
      <w:rFonts w:ascii="Palatino Linotype" w:eastAsiaTheme="minorEastAsia" w:cs="Palatino Linotype"/>
      <w:szCs w:val="24"/>
    </w:rPr>
  </w:style>
  <w:style w:type="paragraph" w:customStyle="1" w:styleId="STF-PadroCentralizado">
    <w:name w:val="STF-PadrãoCentralizado"/>
    <w:basedOn w:val="Normal"/>
    <w:uiPriority w:val="99"/>
    <w:rsid w:val="00CF54A5"/>
    <w:pPr>
      <w:widowControl w:val="0"/>
      <w:autoSpaceDE w:val="0"/>
      <w:autoSpaceDN w:val="0"/>
      <w:adjustRightInd w:val="0"/>
      <w:spacing w:line="264" w:lineRule="auto"/>
      <w:jc w:val="center"/>
    </w:pPr>
    <w:rPr>
      <w:rFonts w:ascii="Palatino Linotype" w:eastAsiaTheme="minorEastAsia" w:cs="Palatino Linotyp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14"/>
    <w:pPr>
      <w:spacing w:after="0" w:line="240" w:lineRule="auto"/>
      <w:jc w:val="both"/>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340114"/>
    <w:pPr>
      <w:keepNext/>
      <w:ind w:right="75"/>
      <w:outlineLvl w:val="0"/>
    </w:pPr>
    <w:rPr>
      <w:rFonts w:ascii="Arial" w:hAnsi="Arial" w:cs="Arial"/>
      <w:b/>
      <w:bCs/>
      <w:smallCaps/>
      <w:sz w:val="22"/>
    </w:rPr>
  </w:style>
  <w:style w:type="paragraph" w:styleId="Ttulo2">
    <w:name w:val="heading 2"/>
    <w:basedOn w:val="Normal"/>
    <w:next w:val="Normal"/>
    <w:link w:val="Ttulo2Char"/>
    <w:unhideWhenUsed/>
    <w:qFormat/>
    <w:rsid w:val="00340114"/>
    <w:pPr>
      <w:keepNext/>
      <w:ind w:left="68"/>
      <w:outlineLvl w:val="1"/>
    </w:pPr>
    <w:rPr>
      <w:rFonts w:ascii="Arial" w:hAnsi="Arial" w:cs="Arial"/>
      <w:b/>
      <w:bCs/>
      <w:smallCap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0114"/>
    <w:rPr>
      <w:rFonts w:ascii="Arial" w:eastAsia="Times New Roman" w:hAnsi="Arial" w:cs="Arial"/>
      <w:b/>
      <w:bCs/>
      <w:smallCaps/>
      <w:szCs w:val="20"/>
      <w:lang w:eastAsia="pt-BR"/>
    </w:rPr>
  </w:style>
  <w:style w:type="character" w:customStyle="1" w:styleId="Ttulo2Char">
    <w:name w:val="Título 2 Char"/>
    <w:basedOn w:val="Fontepargpadro"/>
    <w:link w:val="Ttulo2"/>
    <w:rsid w:val="00340114"/>
    <w:rPr>
      <w:rFonts w:ascii="Arial" w:eastAsia="Times New Roman" w:hAnsi="Arial" w:cs="Arial"/>
      <w:b/>
      <w:bCs/>
      <w:smallCaps/>
      <w:szCs w:val="20"/>
      <w:lang w:eastAsia="pt-BR"/>
    </w:rPr>
  </w:style>
  <w:style w:type="paragraph" w:styleId="NormalWeb">
    <w:name w:val="Normal (Web)"/>
    <w:basedOn w:val="Normal"/>
    <w:uiPriority w:val="99"/>
    <w:unhideWhenUsed/>
    <w:rsid w:val="00340114"/>
    <w:pPr>
      <w:spacing w:before="100" w:beforeAutospacing="1" w:after="100" w:afterAutospacing="1"/>
      <w:jc w:val="left"/>
    </w:pPr>
    <w:rPr>
      <w:color w:val="000000"/>
      <w:szCs w:val="24"/>
    </w:rPr>
  </w:style>
  <w:style w:type="paragraph" w:styleId="Cabealho">
    <w:name w:val="header"/>
    <w:basedOn w:val="Normal"/>
    <w:link w:val="CabealhoChar"/>
    <w:uiPriority w:val="99"/>
    <w:unhideWhenUsed/>
    <w:rsid w:val="0067740F"/>
    <w:pPr>
      <w:tabs>
        <w:tab w:val="center" w:pos="4252"/>
        <w:tab w:val="right" w:pos="8504"/>
      </w:tabs>
    </w:pPr>
  </w:style>
  <w:style w:type="character" w:customStyle="1" w:styleId="CabealhoChar">
    <w:name w:val="Cabeçalho Char"/>
    <w:basedOn w:val="Fontepargpadro"/>
    <w:link w:val="Cabealho"/>
    <w:uiPriority w:val="99"/>
    <w:rsid w:val="0067740F"/>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67740F"/>
    <w:pPr>
      <w:tabs>
        <w:tab w:val="center" w:pos="4252"/>
        <w:tab w:val="right" w:pos="8504"/>
      </w:tabs>
    </w:pPr>
  </w:style>
  <w:style w:type="character" w:customStyle="1" w:styleId="RodapChar">
    <w:name w:val="Rodapé Char"/>
    <w:basedOn w:val="Fontepargpadro"/>
    <w:link w:val="Rodap"/>
    <w:uiPriority w:val="99"/>
    <w:rsid w:val="0067740F"/>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67740F"/>
    <w:rPr>
      <w:rFonts w:ascii="Tahoma" w:hAnsi="Tahoma" w:cs="Tahoma"/>
      <w:sz w:val="16"/>
      <w:szCs w:val="16"/>
    </w:rPr>
  </w:style>
  <w:style w:type="character" w:customStyle="1" w:styleId="TextodebaloChar">
    <w:name w:val="Texto de balão Char"/>
    <w:basedOn w:val="Fontepargpadro"/>
    <w:link w:val="Textodebalo"/>
    <w:uiPriority w:val="99"/>
    <w:semiHidden/>
    <w:rsid w:val="0067740F"/>
    <w:rPr>
      <w:rFonts w:ascii="Tahoma" w:eastAsia="Times New Roman" w:hAnsi="Tahoma" w:cs="Tahoma"/>
      <w:sz w:val="16"/>
      <w:szCs w:val="16"/>
      <w:lang w:eastAsia="pt-BR"/>
    </w:rPr>
  </w:style>
  <w:style w:type="character" w:styleId="Forte">
    <w:name w:val="Strong"/>
    <w:basedOn w:val="Fontepargpadro"/>
    <w:uiPriority w:val="22"/>
    <w:qFormat/>
    <w:rsid w:val="006908F1"/>
    <w:rPr>
      <w:b/>
      <w:bCs/>
    </w:rPr>
  </w:style>
  <w:style w:type="paragraph" w:styleId="Textodenotadefim">
    <w:name w:val="endnote text"/>
    <w:basedOn w:val="Normal"/>
    <w:link w:val="TextodenotadefimChar"/>
    <w:uiPriority w:val="99"/>
    <w:semiHidden/>
    <w:unhideWhenUsed/>
    <w:rsid w:val="00F82EC6"/>
    <w:rPr>
      <w:sz w:val="20"/>
    </w:rPr>
  </w:style>
  <w:style w:type="character" w:customStyle="1" w:styleId="TextodenotadefimChar">
    <w:name w:val="Texto de nota de fim Char"/>
    <w:basedOn w:val="Fontepargpadro"/>
    <w:link w:val="Textodenotadefim"/>
    <w:uiPriority w:val="99"/>
    <w:semiHidden/>
    <w:rsid w:val="00F82EC6"/>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F82EC6"/>
    <w:rPr>
      <w:vertAlign w:val="superscript"/>
    </w:rPr>
  </w:style>
  <w:style w:type="paragraph" w:styleId="Textodenotaderodap">
    <w:name w:val="footnote text"/>
    <w:basedOn w:val="Normal"/>
    <w:link w:val="TextodenotaderodapChar"/>
    <w:uiPriority w:val="99"/>
    <w:semiHidden/>
    <w:unhideWhenUsed/>
    <w:rsid w:val="00272037"/>
    <w:rPr>
      <w:sz w:val="20"/>
    </w:rPr>
  </w:style>
  <w:style w:type="character" w:customStyle="1" w:styleId="TextodenotaderodapChar">
    <w:name w:val="Texto de nota de rodapé Char"/>
    <w:basedOn w:val="Fontepargpadro"/>
    <w:link w:val="Textodenotaderodap"/>
    <w:uiPriority w:val="99"/>
    <w:semiHidden/>
    <w:rsid w:val="0027203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272037"/>
    <w:rPr>
      <w:vertAlign w:val="superscript"/>
    </w:rPr>
  </w:style>
  <w:style w:type="paragraph" w:styleId="PargrafodaLista">
    <w:name w:val="List Paragraph"/>
    <w:basedOn w:val="Normal"/>
    <w:uiPriority w:val="34"/>
    <w:qFormat/>
    <w:rsid w:val="001F77F4"/>
    <w:pPr>
      <w:ind w:left="720"/>
      <w:contextualSpacing/>
    </w:pPr>
  </w:style>
  <w:style w:type="character" w:customStyle="1" w:styleId="apple-converted-space">
    <w:name w:val="apple-converted-space"/>
    <w:basedOn w:val="Fontepargpadro"/>
    <w:rsid w:val="00380DD2"/>
  </w:style>
  <w:style w:type="character" w:styleId="Hyperlink">
    <w:name w:val="Hyperlink"/>
    <w:basedOn w:val="Fontepargpadro"/>
    <w:uiPriority w:val="99"/>
    <w:semiHidden/>
    <w:unhideWhenUsed/>
    <w:rsid w:val="00CF54A5"/>
    <w:rPr>
      <w:color w:val="0000FF"/>
      <w:u w:val="single"/>
    </w:rPr>
  </w:style>
  <w:style w:type="paragraph" w:customStyle="1" w:styleId="STF-Padro">
    <w:name w:val="STF-Padrão"/>
    <w:basedOn w:val="Normal"/>
    <w:uiPriority w:val="99"/>
    <w:rsid w:val="00CF54A5"/>
    <w:pPr>
      <w:widowControl w:val="0"/>
      <w:tabs>
        <w:tab w:val="left" w:pos="1701"/>
      </w:tabs>
      <w:autoSpaceDE w:val="0"/>
      <w:autoSpaceDN w:val="0"/>
      <w:adjustRightInd w:val="0"/>
      <w:spacing w:line="264" w:lineRule="auto"/>
      <w:ind w:firstLine="567"/>
    </w:pPr>
    <w:rPr>
      <w:rFonts w:ascii="Palatino Linotype" w:eastAsiaTheme="minorEastAsia" w:cs="Palatino Linotype"/>
      <w:sz w:val="26"/>
      <w:szCs w:val="26"/>
    </w:rPr>
  </w:style>
  <w:style w:type="paragraph" w:customStyle="1" w:styleId="STF-Citao1">
    <w:name w:val="STF-Citação1"/>
    <w:basedOn w:val="Normal"/>
    <w:uiPriority w:val="99"/>
    <w:rsid w:val="00CF54A5"/>
    <w:pPr>
      <w:widowControl w:val="0"/>
      <w:autoSpaceDE w:val="0"/>
      <w:autoSpaceDN w:val="0"/>
      <w:adjustRightInd w:val="0"/>
      <w:spacing w:line="264" w:lineRule="auto"/>
      <w:ind w:left="1701" w:firstLine="567"/>
    </w:pPr>
    <w:rPr>
      <w:rFonts w:ascii="Palatino Linotype" w:eastAsiaTheme="minorEastAsia" w:cs="Palatino Linotype"/>
      <w:szCs w:val="24"/>
    </w:rPr>
  </w:style>
  <w:style w:type="paragraph" w:customStyle="1" w:styleId="STF-PadroCentralizado">
    <w:name w:val="STF-PadrãoCentralizado"/>
    <w:basedOn w:val="Normal"/>
    <w:uiPriority w:val="99"/>
    <w:rsid w:val="00CF54A5"/>
    <w:pPr>
      <w:widowControl w:val="0"/>
      <w:autoSpaceDE w:val="0"/>
      <w:autoSpaceDN w:val="0"/>
      <w:adjustRightInd w:val="0"/>
      <w:spacing w:line="264" w:lineRule="auto"/>
      <w:jc w:val="center"/>
    </w:pPr>
    <w:rPr>
      <w:rFonts w:ascii="Palatino Linotype" w:eastAsiaTheme="minorEastAsia" w:cs="Palatino Linotyp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1617">
      <w:bodyDiv w:val="1"/>
      <w:marLeft w:val="0"/>
      <w:marRight w:val="0"/>
      <w:marTop w:val="0"/>
      <w:marBottom w:val="0"/>
      <w:divBdr>
        <w:top w:val="none" w:sz="0" w:space="0" w:color="auto"/>
        <w:left w:val="none" w:sz="0" w:space="0" w:color="auto"/>
        <w:bottom w:val="none" w:sz="0" w:space="0" w:color="auto"/>
        <w:right w:val="none" w:sz="0" w:space="0" w:color="auto"/>
      </w:divBdr>
    </w:div>
    <w:div w:id="289745257">
      <w:bodyDiv w:val="1"/>
      <w:marLeft w:val="0"/>
      <w:marRight w:val="0"/>
      <w:marTop w:val="120"/>
      <w:marBottom w:val="0"/>
      <w:divBdr>
        <w:top w:val="none" w:sz="0" w:space="0" w:color="auto"/>
        <w:left w:val="none" w:sz="0" w:space="0" w:color="auto"/>
        <w:bottom w:val="none" w:sz="0" w:space="0" w:color="auto"/>
        <w:right w:val="none" w:sz="0" w:space="0" w:color="auto"/>
      </w:divBdr>
      <w:divsChild>
        <w:div w:id="1612974448">
          <w:marLeft w:val="0"/>
          <w:marRight w:val="0"/>
          <w:marTop w:val="0"/>
          <w:marBottom w:val="0"/>
          <w:divBdr>
            <w:top w:val="none" w:sz="0" w:space="0" w:color="auto"/>
            <w:left w:val="none" w:sz="0" w:space="0" w:color="auto"/>
            <w:bottom w:val="none" w:sz="0" w:space="0" w:color="auto"/>
            <w:right w:val="none" w:sz="0" w:space="0" w:color="auto"/>
          </w:divBdr>
          <w:divsChild>
            <w:div w:id="1232697742">
              <w:marLeft w:val="0"/>
              <w:marRight w:val="0"/>
              <w:marTop w:val="0"/>
              <w:marBottom w:val="0"/>
              <w:divBdr>
                <w:top w:val="none" w:sz="0" w:space="0" w:color="auto"/>
                <w:left w:val="none" w:sz="0" w:space="0" w:color="auto"/>
                <w:bottom w:val="none" w:sz="0" w:space="0" w:color="auto"/>
                <w:right w:val="none" w:sz="0" w:space="0" w:color="auto"/>
              </w:divBdr>
              <w:divsChild>
                <w:div w:id="1089891661">
                  <w:marLeft w:val="0"/>
                  <w:marRight w:val="0"/>
                  <w:marTop w:val="0"/>
                  <w:marBottom w:val="0"/>
                  <w:divBdr>
                    <w:top w:val="none" w:sz="0" w:space="0" w:color="auto"/>
                    <w:left w:val="none" w:sz="0" w:space="0" w:color="auto"/>
                    <w:bottom w:val="none" w:sz="0" w:space="0" w:color="auto"/>
                    <w:right w:val="none" w:sz="0" w:space="0" w:color="auto"/>
                  </w:divBdr>
                  <w:divsChild>
                    <w:div w:id="439377978">
                      <w:marLeft w:val="0"/>
                      <w:marRight w:val="0"/>
                      <w:marTop w:val="0"/>
                      <w:marBottom w:val="0"/>
                      <w:divBdr>
                        <w:top w:val="none" w:sz="0" w:space="0" w:color="auto"/>
                        <w:left w:val="none" w:sz="0" w:space="0" w:color="auto"/>
                        <w:bottom w:val="none" w:sz="0" w:space="0" w:color="auto"/>
                        <w:right w:val="none" w:sz="0" w:space="0" w:color="auto"/>
                      </w:divBdr>
                      <w:divsChild>
                        <w:div w:id="732242023">
                          <w:marLeft w:val="0"/>
                          <w:marRight w:val="0"/>
                          <w:marTop w:val="0"/>
                          <w:marBottom w:val="0"/>
                          <w:divBdr>
                            <w:top w:val="none" w:sz="0" w:space="0" w:color="auto"/>
                            <w:left w:val="none" w:sz="0" w:space="0" w:color="auto"/>
                            <w:bottom w:val="none" w:sz="0" w:space="0" w:color="auto"/>
                            <w:right w:val="none" w:sz="0" w:space="0" w:color="auto"/>
                          </w:divBdr>
                          <w:divsChild>
                            <w:div w:id="2128308523">
                              <w:marLeft w:val="0"/>
                              <w:marRight w:val="0"/>
                              <w:marTop w:val="0"/>
                              <w:marBottom w:val="0"/>
                              <w:divBdr>
                                <w:top w:val="none" w:sz="0" w:space="0" w:color="auto"/>
                                <w:left w:val="none" w:sz="0" w:space="0" w:color="auto"/>
                                <w:bottom w:val="none" w:sz="0" w:space="0" w:color="auto"/>
                                <w:right w:val="none" w:sz="0" w:space="0" w:color="auto"/>
                              </w:divBdr>
                              <w:divsChild>
                                <w:div w:id="334504539">
                                  <w:marLeft w:val="0"/>
                                  <w:marRight w:val="0"/>
                                  <w:marTop w:val="0"/>
                                  <w:marBottom w:val="0"/>
                                  <w:divBdr>
                                    <w:top w:val="none" w:sz="0" w:space="0" w:color="auto"/>
                                    <w:left w:val="none" w:sz="0" w:space="0" w:color="auto"/>
                                    <w:bottom w:val="none" w:sz="0" w:space="0" w:color="auto"/>
                                    <w:right w:val="none" w:sz="0" w:space="0" w:color="auto"/>
                                  </w:divBdr>
                                  <w:divsChild>
                                    <w:div w:id="414938204">
                                      <w:marLeft w:val="0"/>
                                      <w:marRight w:val="0"/>
                                      <w:marTop w:val="0"/>
                                      <w:marBottom w:val="0"/>
                                      <w:divBdr>
                                        <w:top w:val="none" w:sz="0" w:space="0" w:color="auto"/>
                                        <w:left w:val="none" w:sz="0" w:space="0" w:color="auto"/>
                                        <w:bottom w:val="none" w:sz="0" w:space="0" w:color="auto"/>
                                        <w:right w:val="none" w:sz="0" w:space="0" w:color="auto"/>
                                      </w:divBdr>
                                      <w:divsChild>
                                        <w:div w:id="585109762">
                                          <w:marLeft w:val="0"/>
                                          <w:marRight w:val="0"/>
                                          <w:marTop w:val="0"/>
                                          <w:marBottom w:val="0"/>
                                          <w:divBdr>
                                            <w:top w:val="none" w:sz="0" w:space="0" w:color="auto"/>
                                            <w:left w:val="none" w:sz="0" w:space="0" w:color="auto"/>
                                            <w:bottom w:val="none" w:sz="0" w:space="0" w:color="auto"/>
                                            <w:right w:val="none" w:sz="0" w:space="0" w:color="auto"/>
                                          </w:divBdr>
                                          <w:divsChild>
                                            <w:div w:id="494106096">
                                              <w:marLeft w:val="0"/>
                                              <w:marRight w:val="0"/>
                                              <w:marTop w:val="0"/>
                                              <w:marBottom w:val="0"/>
                                              <w:divBdr>
                                                <w:top w:val="none" w:sz="0" w:space="0" w:color="auto"/>
                                                <w:left w:val="none" w:sz="0" w:space="0" w:color="auto"/>
                                                <w:bottom w:val="none" w:sz="0" w:space="0" w:color="auto"/>
                                                <w:right w:val="none" w:sz="0" w:space="0" w:color="auto"/>
                                              </w:divBdr>
                                              <w:divsChild>
                                                <w:div w:id="822964706">
                                                  <w:marLeft w:val="0"/>
                                                  <w:marRight w:val="0"/>
                                                  <w:marTop w:val="0"/>
                                                  <w:marBottom w:val="0"/>
                                                  <w:divBdr>
                                                    <w:top w:val="none" w:sz="0" w:space="0" w:color="auto"/>
                                                    <w:left w:val="none" w:sz="0" w:space="0" w:color="auto"/>
                                                    <w:bottom w:val="none" w:sz="0" w:space="0" w:color="auto"/>
                                                    <w:right w:val="none" w:sz="0" w:space="0" w:color="auto"/>
                                                  </w:divBdr>
                                                  <w:divsChild>
                                                    <w:div w:id="710568068">
                                                      <w:marLeft w:val="0"/>
                                                      <w:marRight w:val="0"/>
                                                      <w:marTop w:val="0"/>
                                                      <w:marBottom w:val="0"/>
                                                      <w:divBdr>
                                                        <w:top w:val="none" w:sz="0" w:space="0" w:color="auto"/>
                                                        <w:left w:val="none" w:sz="0" w:space="0" w:color="auto"/>
                                                        <w:bottom w:val="none" w:sz="0" w:space="0" w:color="auto"/>
                                                        <w:right w:val="none" w:sz="0" w:space="0" w:color="auto"/>
                                                      </w:divBdr>
                                                      <w:divsChild>
                                                        <w:div w:id="329138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7267978">
      <w:bodyDiv w:val="1"/>
      <w:marLeft w:val="0"/>
      <w:marRight w:val="0"/>
      <w:marTop w:val="0"/>
      <w:marBottom w:val="0"/>
      <w:divBdr>
        <w:top w:val="none" w:sz="0" w:space="0" w:color="auto"/>
        <w:left w:val="none" w:sz="0" w:space="0" w:color="auto"/>
        <w:bottom w:val="none" w:sz="0" w:space="0" w:color="auto"/>
        <w:right w:val="none" w:sz="0" w:space="0" w:color="auto"/>
      </w:divBdr>
    </w:div>
    <w:div w:id="566066075">
      <w:bodyDiv w:val="1"/>
      <w:marLeft w:val="0"/>
      <w:marRight w:val="0"/>
      <w:marTop w:val="0"/>
      <w:marBottom w:val="0"/>
      <w:divBdr>
        <w:top w:val="none" w:sz="0" w:space="0" w:color="auto"/>
        <w:left w:val="none" w:sz="0" w:space="0" w:color="auto"/>
        <w:bottom w:val="none" w:sz="0" w:space="0" w:color="auto"/>
        <w:right w:val="none" w:sz="0" w:space="0" w:color="auto"/>
      </w:divBdr>
    </w:div>
    <w:div w:id="131841553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73">
          <w:marLeft w:val="0"/>
          <w:marRight w:val="0"/>
          <w:marTop w:val="0"/>
          <w:marBottom w:val="120"/>
          <w:divBdr>
            <w:top w:val="none" w:sz="0" w:space="0" w:color="auto"/>
            <w:left w:val="none" w:sz="0" w:space="0" w:color="auto"/>
            <w:bottom w:val="none" w:sz="0" w:space="0" w:color="auto"/>
            <w:right w:val="none" w:sz="0" w:space="0" w:color="auto"/>
          </w:divBdr>
          <w:divsChild>
            <w:div w:id="1347949719">
              <w:marLeft w:val="0"/>
              <w:marRight w:val="0"/>
              <w:marTop w:val="0"/>
              <w:marBottom w:val="0"/>
              <w:divBdr>
                <w:top w:val="none" w:sz="0" w:space="0" w:color="auto"/>
                <w:left w:val="none" w:sz="0" w:space="0" w:color="auto"/>
                <w:bottom w:val="none" w:sz="0" w:space="0" w:color="auto"/>
                <w:right w:val="none" w:sz="0" w:space="0" w:color="auto"/>
              </w:divBdr>
            </w:div>
            <w:div w:id="2073042975">
              <w:marLeft w:val="0"/>
              <w:marRight w:val="0"/>
              <w:marTop w:val="0"/>
              <w:marBottom w:val="0"/>
              <w:divBdr>
                <w:top w:val="none" w:sz="0" w:space="0" w:color="auto"/>
                <w:left w:val="none" w:sz="0" w:space="0" w:color="auto"/>
                <w:bottom w:val="none" w:sz="0" w:space="0" w:color="auto"/>
                <w:right w:val="none" w:sz="0" w:space="0" w:color="auto"/>
              </w:divBdr>
            </w:div>
          </w:divsChild>
        </w:div>
        <w:div w:id="101192013">
          <w:marLeft w:val="0"/>
          <w:marRight w:val="0"/>
          <w:marTop w:val="0"/>
          <w:marBottom w:val="120"/>
          <w:divBdr>
            <w:top w:val="none" w:sz="0" w:space="0" w:color="auto"/>
            <w:left w:val="none" w:sz="0" w:space="0" w:color="auto"/>
            <w:bottom w:val="none" w:sz="0" w:space="0" w:color="auto"/>
            <w:right w:val="none" w:sz="0" w:space="0" w:color="auto"/>
          </w:divBdr>
          <w:divsChild>
            <w:div w:id="6906547">
              <w:marLeft w:val="0"/>
              <w:marRight w:val="0"/>
              <w:marTop w:val="0"/>
              <w:marBottom w:val="0"/>
              <w:divBdr>
                <w:top w:val="none" w:sz="0" w:space="0" w:color="auto"/>
                <w:left w:val="none" w:sz="0" w:space="0" w:color="auto"/>
                <w:bottom w:val="none" w:sz="0" w:space="0" w:color="auto"/>
                <w:right w:val="none" w:sz="0" w:space="0" w:color="auto"/>
              </w:divBdr>
            </w:div>
            <w:div w:id="274991912">
              <w:marLeft w:val="0"/>
              <w:marRight w:val="0"/>
              <w:marTop w:val="0"/>
              <w:marBottom w:val="0"/>
              <w:divBdr>
                <w:top w:val="none" w:sz="0" w:space="0" w:color="auto"/>
                <w:left w:val="none" w:sz="0" w:space="0" w:color="auto"/>
                <w:bottom w:val="none" w:sz="0" w:space="0" w:color="auto"/>
                <w:right w:val="none" w:sz="0" w:space="0" w:color="auto"/>
              </w:divBdr>
            </w:div>
          </w:divsChild>
        </w:div>
        <w:div w:id="1251503868">
          <w:marLeft w:val="0"/>
          <w:marRight w:val="0"/>
          <w:marTop w:val="0"/>
          <w:marBottom w:val="120"/>
          <w:divBdr>
            <w:top w:val="none" w:sz="0" w:space="0" w:color="auto"/>
            <w:left w:val="none" w:sz="0" w:space="0" w:color="auto"/>
            <w:bottom w:val="none" w:sz="0" w:space="0" w:color="auto"/>
            <w:right w:val="none" w:sz="0" w:space="0" w:color="auto"/>
          </w:divBdr>
          <w:divsChild>
            <w:div w:id="1073236030">
              <w:marLeft w:val="0"/>
              <w:marRight w:val="0"/>
              <w:marTop w:val="0"/>
              <w:marBottom w:val="0"/>
              <w:divBdr>
                <w:top w:val="none" w:sz="0" w:space="0" w:color="auto"/>
                <w:left w:val="none" w:sz="0" w:space="0" w:color="auto"/>
                <w:bottom w:val="none" w:sz="0" w:space="0" w:color="auto"/>
                <w:right w:val="none" w:sz="0" w:space="0" w:color="auto"/>
              </w:divBdr>
            </w:div>
            <w:div w:id="2113939067">
              <w:marLeft w:val="0"/>
              <w:marRight w:val="0"/>
              <w:marTop w:val="0"/>
              <w:marBottom w:val="0"/>
              <w:divBdr>
                <w:top w:val="none" w:sz="0" w:space="0" w:color="auto"/>
                <w:left w:val="none" w:sz="0" w:space="0" w:color="auto"/>
                <w:bottom w:val="none" w:sz="0" w:space="0" w:color="auto"/>
                <w:right w:val="none" w:sz="0" w:space="0" w:color="auto"/>
              </w:divBdr>
            </w:div>
          </w:divsChild>
        </w:div>
        <w:div w:id="691881294">
          <w:marLeft w:val="0"/>
          <w:marRight w:val="0"/>
          <w:marTop w:val="0"/>
          <w:marBottom w:val="120"/>
          <w:divBdr>
            <w:top w:val="none" w:sz="0" w:space="0" w:color="auto"/>
            <w:left w:val="none" w:sz="0" w:space="0" w:color="auto"/>
            <w:bottom w:val="none" w:sz="0" w:space="0" w:color="auto"/>
            <w:right w:val="none" w:sz="0" w:space="0" w:color="auto"/>
          </w:divBdr>
          <w:divsChild>
            <w:div w:id="1541091688">
              <w:marLeft w:val="0"/>
              <w:marRight w:val="0"/>
              <w:marTop w:val="0"/>
              <w:marBottom w:val="0"/>
              <w:divBdr>
                <w:top w:val="none" w:sz="0" w:space="0" w:color="auto"/>
                <w:left w:val="none" w:sz="0" w:space="0" w:color="auto"/>
                <w:bottom w:val="none" w:sz="0" w:space="0" w:color="auto"/>
                <w:right w:val="none" w:sz="0" w:space="0" w:color="auto"/>
              </w:divBdr>
            </w:div>
            <w:div w:id="152525321">
              <w:marLeft w:val="0"/>
              <w:marRight w:val="0"/>
              <w:marTop w:val="0"/>
              <w:marBottom w:val="0"/>
              <w:divBdr>
                <w:top w:val="none" w:sz="0" w:space="0" w:color="auto"/>
                <w:left w:val="none" w:sz="0" w:space="0" w:color="auto"/>
                <w:bottom w:val="none" w:sz="0" w:space="0" w:color="auto"/>
                <w:right w:val="none" w:sz="0" w:space="0" w:color="auto"/>
              </w:divBdr>
            </w:div>
          </w:divsChild>
        </w:div>
        <w:div w:id="1887569729">
          <w:marLeft w:val="0"/>
          <w:marRight w:val="0"/>
          <w:marTop w:val="0"/>
          <w:marBottom w:val="120"/>
          <w:divBdr>
            <w:top w:val="none" w:sz="0" w:space="0" w:color="auto"/>
            <w:left w:val="none" w:sz="0" w:space="0" w:color="auto"/>
            <w:bottom w:val="none" w:sz="0" w:space="0" w:color="auto"/>
            <w:right w:val="none" w:sz="0" w:space="0" w:color="auto"/>
          </w:divBdr>
          <w:divsChild>
            <w:div w:id="1344287091">
              <w:marLeft w:val="0"/>
              <w:marRight w:val="0"/>
              <w:marTop w:val="0"/>
              <w:marBottom w:val="0"/>
              <w:divBdr>
                <w:top w:val="none" w:sz="0" w:space="0" w:color="auto"/>
                <w:left w:val="none" w:sz="0" w:space="0" w:color="auto"/>
                <w:bottom w:val="none" w:sz="0" w:space="0" w:color="auto"/>
                <w:right w:val="none" w:sz="0" w:space="0" w:color="auto"/>
              </w:divBdr>
            </w:div>
            <w:div w:id="274755821">
              <w:marLeft w:val="0"/>
              <w:marRight w:val="0"/>
              <w:marTop w:val="0"/>
              <w:marBottom w:val="0"/>
              <w:divBdr>
                <w:top w:val="none" w:sz="0" w:space="0" w:color="auto"/>
                <w:left w:val="none" w:sz="0" w:space="0" w:color="auto"/>
                <w:bottom w:val="none" w:sz="0" w:space="0" w:color="auto"/>
                <w:right w:val="none" w:sz="0" w:space="0" w:color="auto"/>
              </w:divBdr>
            </w:div>
          </w:divsChild>
        </w:div>
        <w:div w:id="176624898">
          <w:marLeft w:val="0"/>
          <w:marRight w:val="0"/>
          <w:marTop w:val="0"/>
          <w:marBottom w:val="120"/>
          <w:divBdr>
            <w:top w:val="none" w:sz="0" w:space="0" w:color="auto"/>
            <w:left w:val="none" w:sz="0" w:space="0" w:color="auto"/>
            <w:bottom w:val="none" w:sz="0" w:space="0" w:color="auto"/>
            <w:right w:val="none" w:sz="0" w:space="0" w:color="auto"/>
          </w:divBdr>
          <w:divsChild>
            <w:div w:id="1553073139">
              <w:marLeft w:val="0"/>
              <w:marRight w:val="0"/>
              <w:marTop w:val="0"/>
              <w:marBottom w:val="0"/>
              <w:divBdr>
                <w:top w:val="none" w:sz="0" w:space="0" w:color="auto"/>
                <w:left w:val="none" w:sz="0" w:space="0" w:color="auto"/>
                <w:bottom w:val="none" w:sz="0" w:space="0" w:color="auto"/>
                <w:right w:val="none" w:sz="0" w:space="0" w:color="auto"/>
              </w:divBdr>
            </w:div>
            <w:div w:id="3553921">
              <w:marLeft w:val="0"/>
              <w:marRight w:val="0"/>
              <w:marTop w:val="0"/>
              <w:marBottom w:val="0"/>
              <w:divBdr>
                <w:top w:val="none" w:sz="0" w:space="0" w:color="auto"/>
                <w:left w:val="none" w:sz="0" w:space="0" w:color="auto"/>
                <w:bottom w:val="none" w:sz="0" w:space="0" w:color="auto"/>
                <w:right w:val="none" w:sz="0" w:space="0" w:color="auto"/>
              </w:divBdr>
            </w:div>
          </w:divsChild>
        </w:div>
        <w:div w:id="263460737">
          <w:marLeft w:val="0"/>
          <w:marRight w:val="0"/>
          <w:marTop w:val="0"/>
          <w:marBottom w:val="0"/>
          <w:divBdr>
            <w:top w:val="none" w:sz="0" w:space="0" w:color="auto"/>
            <w:left w:val="none" w:sz="0" w:space="0" w:color="auto"/>
            <w:bottom w:val="none" w:sz="0" w:space="0" w:color="auto"/>
            <w:right w:val="none" w:sz="0" w:space="0" w:color="auto"/>
          </w:divBdr>
          <w:divsChild>
            <w:div w:id="2004159636">
              <w:marLeft w:val="0"/>
              <w:marRight w:val="0"/>
              <w:marTop w:val="0"/>
              <w:marBottom w:val="0"/>
              <w:divBdr>
                <w:top w:val="none" w:sz="0" w:space="0" w:color="auto"/>
                <w:left w:val="none" w:sz="0" w:space="0" w:color="auto"/>
                <w:bottom w:val="none" w:sz="0" w:space="0" w:color="auto"/>
                <w:right w:val="none" w:sz="0" w:space="0" w:color="auto"/>
              </w:divBdr>
            </w:div>
            <w:div w:id="2029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27BC-9467-4073-8FC8-23C03763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8663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Thereza Marina Cunha M. Cunha</dc:creator>
  <cp:lastModifiedBy>Thereza Marina Cunha M. Cunha</cp:lastModifiedBy>
  <cp:revision>2</cp:revision>
  <cp:lastPrinted>2017-05-18T18:15:00Z</cp:lastPrinted>
  <dcterms:created xsi:type="dcterms:W3CDTF">2017-05-25T20:14:00Z</dcterms:created>
  <dcterms:modified xsi:type="dcterms:W3CDTF">2017-05-25T20:14:00Z</dcterms:modified>
</cp:coreProperties>
</file>