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8006"/>
      </w:tblGrid>
      <w:tr w:rsidR="00B848DB" w:rsidRPr="0002447A" w:rsidTr="00B848DB">
        <w:tc>
          <w:tcPr>
            <w:tcW w:w="1488" w:type="dxa"/>
          </w:tcPr>
          <w:p w:rsidR="00B848DB" w:rsidRPr="0002447A" w:rsidRDefault="00B848DB" w:rsidP="00B848DB">
            <w:pPr>
              <w:ind w:right="-34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Assunto</w:t>
            </w:r>
          </w:p>
        </w:tc>
        <w:tc>
          <w:tcPr>
            <w:tcW w:w="180" w:type="dxa"/>
          </w:tcPr>
          <w:p w:rsidR="00B848DB" w:rsidRPr="0002447A" w:rsidRDefault="00B848DB" w:rsidP="00B848DB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8006" w:type="dxa"/>
          </w:tcPr>
          <w:p w:rsidR="00B848DB" w:rsidRPr="0002447A" w:rsidRDefault="00B848DB" w:rsidP="00B848DB">
            <w:pPr>
              <w:tabs>
                <w:tab w:val="left" w:pos="7516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TV por assinatura - Redução de base de cálculo prevista no Convênio ICMS 78/15 </w:t>
            </w:r>
          </w:p>
        </w:tc>
      </w:tr>
    </w:tbl>
    <w:p w:rsidR="00B977BE" w:rsidRPr="00380DD2" w:rsidRDefault="00B977BE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</w:p>
    <w:p w:rsidR="00B977BE" w:rsidRPr="00380DD2" w:rsidRDefault="00B977BE" w:rsidP="00B977B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  <w:r w:rsidRPr="00380DD2">
        <w:rPr>
          <w:b/>
          <w:smallCaps/>
          <w:sz w:val="22"/>
          <w:szCs w:val="22"/>
        </w:rPr>
        <w:t xml:space="preserve">Consulta nº  </w:t>
      </w:r>
      <w:r w:rsidR="00410DAF">
        <w:rPr>
          <w:b/>
          <w:smallCaps/>
          <w:sz w:val="22"/>
          <w:szCs w:val="22"/>
        </w:rPr>
        <w:t>059</w:t>
      </w:r>
      <w:r w:rsidRPr="00380DD2">
        <w:rPr>
          <w:b/>
          <w:smallCaps/>
          <w:sz w:val="22"/>
          <w:szCs w:val="22"/>
        </w:rPr>
        <w:t>/2017</w:t>
      </w:r>
    </w:p>
    <w:p w:rsidR="00B977BE" w:rsidRPr="00380DD2" w:rsidRDefault="00B977BE" w:rsidP="00B977B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</w:p>
    <w:p w:rsidR="008061DC" w:rsidRPr="00380DD2" w:rsidRDefault="008061DC" w:rsidP="00B977B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</w:p>
    <w:p w:rsidR="00276CC8" w:rsidRPr="00380DD2" w:rsidRDefault="00276CC8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  <w:r w:rsidRPr="00380DD2">
        <w:rPr>
          <w:b/>
          <w:smallCaps/>
          <w:sz w:val="22"/>
          <w:szCs w:val="22"/>
        </w:rPr>
        <w:t>I – Relatório:</w:t>
      </w:r>
    </w:p>
    <w:p w:rsidR="00276CC8" w:rsidRPr="00380DD2" w:rsidRDefault="00276CC8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</w:p>
    <w:p w:rsidR="00F70367" w:rsidRDefault="00222294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>A e</w:t>
      </w:r>
      <w:r w:rsidR="003A2D67">
        <w:rPr>
          <w:sz w:val="22"/>
          <w:szCs w:val="22"/>
        </w:rPr>
        <w:t xml:space="preserve">mpresa consulente atua no setor de telecomunicação e presta, dentre outros, serviço de televisão por assinatura </w:t>
      </w:r>
      <w:r w:rsidR="006B310D">
        <w:rPr>
          <w:sz w:val="22"/>
          <w:szCs w:val="22"/>
        </w:rPr>
        <w:t>via satélite (DTH – produto “Claro TV”)</w:t>
      </w:r>
      <w:r w:rsidR="003A2D67">
        <w:rPr>
          <w:sz w:val="22"/>
          <w:szCs w:val="22"/>
        </w:rPr>
        <w:t xml:space="preserve">, em relação ao qual é optante da sistemática de apuração do ICMS mediante a redução de base de cálculo instituída pelo Estado do </w:t>
      </w:r>
      <w:r w:rsidR="00B848DB">
        <w:rPr>
          <w:sz w:val="22"/>
          <w:szCs w:val="22"/>
        </w:rPr>
        <w:t xml:space="preserve">Rio </w:t>
      </w:r>
      <w:r w:rsidR="003A2D67">
        <w:rPr>
          <w:sz w:val="22"/>
          <w:szCs w:val="22"/>
        </w:rPr>
        <w:t>de Janeiro com base no Convênio ICMS 57/99, posteriormente, substituído pelo Convênio ICMS 78/15.</w:t>
      </w:r>
      <w:r w:rsidR="00276CC8" w:rsidRPr="00380DD2">
        <w:rPr>
          <w:sz w:val="22"/>
          <w:szCs w:val="22"/>
        </w:rPr>
        <w:t xml:space="preserve"> </w:t>
      </w:r>
    </w:p>
    <w:p w:rsidR="003A2D67" w:rsidRDefault="003A2D67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3A2D67" w:rsidRDefault="003A2D67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>A referida redução de base de cálculo é facultativa ao contribuinte que ao manifestar sua opção o faz em substituição ao sistema de tributação previsto na legislação tributária estadual, não podendo utilizar</w:t>
      </w:r>
      <w:r w:rsidR="00A64B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quaisquer créditos fiscais, conforme estabelecido nos referidos convênios e na legislação estadual. </w:t>
      </w:r>
    </w:p>
    <w:p w:rsidR="003A2D67" w:rsidRDefault="003A2D67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3A2D67" w:rsidRDefault="003A2D67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 xml:space="preserve">Tal método de apuração está em vigor no Estado do </w:t>
      </w:r>
      <w:r w:rsidR="00B848DB">
        <w:rPr>
          <w:sz w:val="22"/>
          <w:szCs w:val="22"/>
        </w:rPr>
        <w:t xml:space="preserve">Rio </w:t>
      </w:r>
      <w:r>
        <w:rPr>
          <w:sz w:val="22"/>
          <w:szCs w:val="22"/>
        </w:rPr>
        <w:t xml:space="preserve">de Janeiro desde o ano de 2000, sendo a consulente optante por esse regime desde sua instituição, por prazo indeterminado, </w:t>
      </w:r>
      <w:r w:rsidR="00A64BBD">
        <w:rPr>
          <w:sz w:val="22"/>
          <w:szCs w:val="22"/>
        </w:rPr>
        <w:t>se valendo da faculdade conferida pela referida legislação da redução de base de cálculo do ICMS, de forma ininterrupta, durante todos esses anos.</w:t>
      </w:r>
    </w:p>
    <w:p w:rsidR="00A64BBD" w:rsidRDefault="00A64BBD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A64BBD" w:rsidRDefault="00A64BBD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>Dispõe a legislação estadual que a opção em substituição ao regime normal deve ser exercida pelo contribuinte e informada à autoridade fiscal a cada ano civil, não sendo permitida a alteração do regime de apuração dentro do mesmo ano civil. Trata-se de uma mera informação</w:t>
      </w:r>
      <w:r w:rsidR="00223D2A">
        <w:rPr>
          <w:sz w:val="22"/>
          <w:szCs w:val="22"/>
        </w:rPr>
        <w:t xml:space="preserve"> ao fisco, sobre o sistema de apuração,</w:t>
      </w:r>
      <w:r>
        <w:rPr>
          <w:sz w:val="22"/>
          <w:szCs w:val="22"/>
        </w:rPr>
        <w:t xml:space="preserve"> independendo de deferimento</w:t>
      </w:r>
      <w:r w:rsidR="00DB3FCD">
        <w:rPr>
          <w:sz w:val="22"/>
          <w:szCs w:val="22"/>
        </w:rPr>
        <w:t>, confirmação ou ratificação</w:t>
      </w:r>
      <w:r>
        <w:rPr>
          <w:sz w:val="22"/>
          <w:szCs w:val="22"/>
        </w:rPr>
        <w:t xml:space="preserve"> pela autoridade fiscal</w:t>
      </w:r>
      <w:r w:rsidR="00223D2A">
        <w:rPr>
          <w:sz w:val="22"/>
          <w:szCs w:val="22"/>
        </w:rPr>
        <w:t>, não se tratando de concessão, renovação ou ampliação de benefício fiscal. Portanto, não se aplica a vedação prevista na Resolução SEFAZ nº</w:t>
      </w:r>
      <w:r>
        <w:rPr>
          <w:sz w:val="22"/>
          <w:szCs w:val="22"/>
        </w:rPr>
        <w:t xml:space="preserve"> </w:t>
      </w:r>
      <w:r w:rsidR="00223D2A">
        <w:rPr>
          <w:sz w:val="22"/>
          <w:szCs w:val="22"/>
        </w:rPr>
        <w:t>1</w:t>
      </w:r>
      <w:r w:rsidR="00DA5B8E">
        <w:rPr>
          <w:sz w:val="22"/>
          <w:szCs w:val="22"/>
        </w:rPr>
        <w:t>.</w:t>
      </w:r>
      <w:r w:rsidR="00223D2A">
        <w:rPr>
          <w:sz w:val="22"/>
          <w:szCs w:val="22"/>
        </w:rPr>
        <w:t>050/16</w:t>
      </w:r>
      <w:r w:rsidR="00DA5B8E">
        <w:rPr>
          <w:sz w:val="22"/>
          <w:szCs w:val="22"/>
        </w:rPr>
        <w:t>.</w:t>
      </w:r>
    </w:p>
    <w:p w:rsidR="00DB3FCD" w:rsidRDefault="00DB3FCD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DB3FCD" w:rsidRDefault="00DB3FCD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>O esclarecimento da dúvida sobre a aplicabilidade da Resolução SEFAZ nº 1.050/16 também afeta a apuração e pagamento do Fundo Estadual de Equilíbrio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Fiscal (FEEF) instituído pela Lei n</w:t>
      </w:r>
      <w:r w:rsidR="00B848DB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7.428/16, uma vez que o depósito do FEEF somente é devido no caso do referido regime de apuração estar em vigor. A consulente entende estar sujeita ao recolhimento do FEEF em função do regime especial do ICMS instituído pelo Convênio ICMS 78/15, entretanto, somente poderá fazê-lo se ficar esclarecido que o referido regime se encontra em vigor. </w:t>
      </w:r>
    </w:p>
    <w:p w:rsidR="00223D2A" w:rsidRDefault="00223D2A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F70367" w:rsidRPr="00380DD2" w:rsidRDefault="00F70367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F70367" w:rsidRPr="00380DD2" w:rsidRDefault="00F70367" w:rsidP="00B848DB">
      <w:pPr>
        <w:tabs>
          <w:tab w:val="left" w:pos="9214"/>
        </w:tabs>
        <w:ind w:right="-568" w:firstLine="360"/>
        <w:rPr>
          <w:b/>
          <w:sz w:val="22"/>
          <w:szCs w:val="22"/>
        </w:rPr>
      </w:pPr>
      <w:r w:rsidRPr="00380DD2">
        <w:rPr>
          <w:b/>
          <w:sz w:val="22"/>
          <w:szCs w:val="22"/>
        </w:rPr>
        <w:t xml:space="preserve">II – </w:t>
      </w:r>
      <w:r w:rsidRPr="00380DD2">
        <w:rPr>
          <w:b/>
          <w:smallCaps/>
          <w:sz w:val="22"/>
          <w:szCs w:val="22"/>
        </w:rPr>
        <w:t>Consulta</w:t>
      </w:r>
      <w:r w:rsidRPr="00380DD2">
        <w:rPr>
          <w:b/>
          <w:sz w:val="22"/>
          <w:szCs w:val="22"/>
        </w:rPr>
        <w:t>:</w:t>
      </w:r>
    </w:p>
    <w:p w:rsidR="00B848DB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B848DB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>Diante do exposto, a consulente apresenta os seguintes questionamentos acerca da interpretação e aplicação da legislação tributária;</w:t>
      </w:r>
    </w:p>
    <w:p w:rsidR="00B848DB" w:rsidRPr="0002447A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B848DB" w:rsidRPr="0002447A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proofErr w:type="gramStart"/>
      <w:r w:rsidRPr="0002447A">
        <w:rPr>
          <w:sz w:val="22"/>
          <w:szCs w:val="22"/>
        </w:rPr>
        <w:t>1</w:t>
      </w:r>
      <w:proofErr w:type="gramEnd"/>
      <w:r w:rsidRPr="0002447A">
        <w:rPr>
          <w:sz w:val="22"/>
          <w:szCs w:val="22"/>
        </w:rPr>
        <w:t>) o regime especial de apuração do ICMS instituído pelo Estado do Rio de Janeiro com base no Convênio ICMS 78/15 permanece em vigor para a consulente, eis que não abrangido pela Resolução SEFAZ nº 1.050/16?</w:t>
      </w:r>
    </w:p>
    <w:p w:rsidR="00B848DB" w:rsidRPr="0002447A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B848DB" w:rsidRPr="0002447A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proofErr w:type="gramStart"/>
      <w:r w:rsidRPr="0002447A">
        <w:rPr>
          <w:sz w:val="22"/>
          <w:szCs w:val="22"/>
        </w:rPr>
        <w:t>2</w:t>
      </w:r>
      <w:proofErr w:type="gramEnd"/>
      <w:r w:rsidRPr="0002447A">
        <w:rPr>
          <w:sz w:val="22"/>
          <w:szCs w:val="22"/>
        </w:rPr>
        <w:t>) caso afirmativa a resposta acima, deve a consulente realizar o depósito ao FEEF, na forma da Lei nº</w:t>
      </w:r>
      <w:r>
        <w:rPr>
          <w:sz w:val="22"/>
          <w:szCs w:val="22"/>
        </w:rPr>
        <w:t xml:space="preserve"> </w:t>
      </w:r>
      <w:r w:rsidRPr="0002447A">
        <w:rPr>
          <w:sz w:val="22"/>
          <w:szCs w:val="22"/>
        </w:rPr>
        <w:t xml:space="preserve">7.428 de 25 de agosto de 2016 e do Decreto nº 45.810. </w:t>
      </w:r>
      <w:proofErr w:type="gramStart"/>
      <w:r w:rsidRPr="0002447A">
        <w:rPr>
          <w:sz w:val="22"/>
          <w:szCs w:val="22"/>
        </w:rPr>
        <w:t>de</w:t>
      </w:r>
      <w:proofErr w:type="gramEnd"/>
      <w:r w:rsidRPr="0002447A">
        <w:rPr>
          <w:sz w:val="22"/>
          <w:szCs w:val="22"/>
        </w:rPr>
        <w:t xml:space="preserve"> 3 de novembro de 2016 (e posteriores alterações), cujo primeiro vencimento irá ocorrer na data de 20 de abril de 2017?</w:t>
      </w:r>
    </w:p>
    <w:p w:rsidR="002B270D" w:rsidRPr="00380DD2" w:rsidRDefault="002B270D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276CC8" w:rsidRPr="00380DD2" w:rsidRDefault="00276CC8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276CC8" w:rsidRPr="00F70367" w:rsidRDefault="00F70367" w:rsidP="00B848DB">
      <w:pPr>
        <w:tabs>
          <w:tab w:val="left" w:pos="9214"/>
        </w:tabs>
        <w:ind w:right="-568" w:firstLine="360"/>
        <w:rPr>
          <w:b/>
          <w:smallCaps/>
          <w:sz w:val="22"/>
          <w:szCs w:val="22"/>
        </w:rPr>
      </w:pPr>
      <w:r w:rsidRPr="00F70367">
        <w:rPr>
          <w:b/>
          <w:smallCaps/>
          <w:sz w:val="22"/>
          <w:szCs w:val="22"/>
        </w:rPr>
        <w:t>II – Análise e Fundamentação e Resposta:</w:t>
      </w:r>
    </w:p>
    <w:p w:rsidR="00B848DB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B848DB" w:rsidRPr="00380DD2" w:rsidRDefault="00B848DB" w:rsidP="00B848DB">
      <w:pPr>
        <w:tabs>
          <w:tab w:val="left" w:pos="9214"/>
        </w:tabs>
        <w:ind w:right="-568" w:firstLine="360"/>
        <w:rPr>
          <w:sz w:val="22"/>
          <w:szCs w:val="22"/>
        </w:rPr>
      </w:pPr>
      <w:r w:rsidRPr="00380DD2">
        <w:rPr>
          <w:sz w:val="22"/>
          <w:szCs w:val="22"/>
        </w:rPr>
        <w:t xml:space="preserve">O processo encontra-se instruído com o comprovante de pagamento da TSE (fls. </w:t>
      </w:r>
      <w:r>
        <w:rPr>
          <w:sz w:val="22"/>
          <w:szCs w:val="22"/>
        </w:rPr>
        <w:t>7/9</w:t>
      </w:r>
      <w:r w:rsidRPr="00380DD2">
        <w:rPr>
          <w:sz w:val="22"/>
          <w:szCs w:val="22"/>
        </w:rPr>
        <w:t xml:space="preserve">), a habilitação do signatário da inicial para postular em nome da consulente (fls. </w:t>
      </w:r>
      <w:r>
        <w:rPr>
          <w:sz w:val="22"/>
          <w:szCs w:val="22"/>
        </w:rPr>
        <w:t>10/46</w:t>
      </w:r>
      <w:r w:rsidRPr="00380DD2">
        <w:rPr>
          <w:sz w:val="22"/>
          <w:szCs w:val="22"/>
        </w:rPr>
        <w:t xml:space="preserve">), bem como as informações relativas aos incisos I e II do artigo 3º da Resolução SEF n° 109/76 (fls. </w:t>
      </w:r>
      <w:r>
        <w:rPr>
          <w:sz w:val="22"/>
          <w:szCs w:val="22"/>
        </w:rPr>
        <w:t>49</w:t>
      </w:r>
      <w:r w:rsidRPr="00380DD2">
        <w:rPr>
          <w:sz w:val="22"/>
          <w:szCs w:val="22"/>
        </w:rPr>
        <w:t>).</w:t>
      </w:r>
    </w:p>
    <w:p w:rsidR="00F70367" w:rsidRDefault="00F70367" w:rsidP="00B848DB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B848DB" w:rsidRPr="0002447A" w:rsidRDefault="00B848DB" w:rsidP="00B848DB">
      <w:pPr>
        <w:ind w:right="-568" w:firstLine="426"/>
        <w:rPr>
          <w:sz w:val="22"/>
          <w:szCs w:val="22"/>
        </w:rPr>
      </w:pPr>
      <w:r w:rsidRPr="0002447A">
        <w:rPr>
          <w:sz w:val="22"/>
          <w:szCs w:val="22"/>
        </w:rPr>
        <w:t xml:space="preserve">Consoante o disposto no inciso I do § 1º da cláusula primeira do Convênio ICMS 78/15, a utilização do benefício fiscal de que trata o </w:t>
      </w:r>
      <w:r w:rsidRPr="0002447A">
        <w:rPr>
          <w:i/>
          <w:sz w:val="22"/>
          <w:szCs w:val="22"/>
        </w:rPr>
        <w:t>caput</w:t>
      </w:r>
      <w:r w:rsidRPr="0002447A">
        <w:rPr>
          <w:sz w:val="22"/>
          <w:szCs w:val="22"/>
        </w:rPr>
        <w:t>, será aplicada, opcionalmente, pelo contribuinte, em substituição ao sistema de tributação previsto na legislação estadual.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proofErr w:type="gramStart"/>
      <w:r w:rsidRPr="0002447A">
        <w:rPr>
          <w:i/>
          <w:sz w:val="22"/>
          <w:szCs w:val="22"/>
        </w:rPr>
        <w:t>“Cláusula primeira [...]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proofErr w:type="gramEnd"/>
      <w:r w:rsidRPr="0002447A">
        <w:rPr>
          <w:i/>
          <w:sz w:val="22"/>
          <w:szCs w:val="22"/>
        </w:rPr>
        <w:t>§ 1º - A utilização do benefício previsto nesta cláusula observará, ainda, o seguinte: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I - será aplicada, opcionalmente, pelo contribuinte, em substituição ao sistema de tributação previsto na legislação distrital;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II - o contribuinte que optar pelo benefício não poderá utilizar quaisquer créditos fiscais.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[...]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 xml:space="preserve">§ </w:t>
      </w:r>
      <w:proofErr w:type="gramStart"/>
      <w:r w:rsidRPr="0002447A">
        <w:rPr>
          <w:i/>
          <w:sz w:val="22"/>
          <w:szCs w:val="22"/>
        </w:rPr>
        <w:t>2º - A opção a que se referem os incisos I e II do parágrafo anterior será feita para cada ano civil.”</w:t>
      </w:r>
      <w:proofErr w:type="gramEnd"/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</w:p>
    <w:p w:rsidR="00B848DB" w:rsidRPr="0002447A" w:rsidRDefault="00B848DB" w:rsidP="00242598">
      <w:pPr>
        <w:ind w:right="282" w:firstLine="567"/>
        <w:rPr>
          <w:sz w:val="22"/>
          <w:szCs w:val="22"/>
        </w:rPr>
      </w:pPr>
      <w:r w:rsidRPr="0002447A">
        <w:rPr>
          <w:sz w:val="22"/>
          <w:szCs w:val="22"/>
        </w:rPr>
        <w:t>O § 5º do art. 1º e o art. 5º do Livro X do RICMS/00 dispõem de forma semelhante.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Art. 1º [...]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§ 5.º A opção pela base de cálculo reduzida deve ser feita para cada ano civil, mediante comunicação à repartição fiscal de circunscrição.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[...]</w:t>
      </w:r>
    </w:p>
    <w:p w:rsidR="00B848DB" w:rsidRPr="0002447A" w:rsidRDefault="00B848DB" w:rsidP="00242598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 xml:space="preserve">Art. </w:t>
      </w:r>
      <w:proofErr w:type="gramStart"/>
      <w:r w:rsidRPr="0002447A">
        <w:rPr>
          <w:i/>
          <w:sz w:val="22"/>
          <w:szCs w:val="22"/>
        </w:rPr>
        <w:t>5º O contribuinte que não optar pela redução de base de cálculo referida no artigo 1.º, fica sujeito à apuração e recolhimento do imposto pelas normas comuns de tributação.”</w:t>
      </w:r>
      <w:proofErr w:type="gramEnd"/>
    </w:p>
    <w:p w:rsidR="00B848DB" w:rsidRDefault="00B848DB" w:rsidP="00B848DB">
      <w:pPr>
        <w:ind w:firstLine="567"/>
        <w:rPr>
          <w:sz w:val="22"/>
          <w:szCs w:val="22"/>
        </w:rPr>
      </w:pPr>
    </w:p>
    <w:p w:rsidR="00B848DB" w:rsidRDefault="00B848DB" w:rsidP="00B848DB">
      <w:pPr>
        <w:ind w:right="-568" w:firstLine="567"/>
        <w:rPr>
          <w:sz w:val="22"/>
          <w:szCs w:val="22"/>
        </w:rPr>
      </w:pPr>
    </w:p>
    <w:p w:rsidR="00242598" w:rsidRDefault="00242598" w:rsidP="00B848DB">
      <w:pPr>
        <w:ind w:right="-568" w:firstLine="567"/>
        <w:rPr>
          <w:sz w:val="22"/>
          <w:szCs w:val="22"/>
        </w:rPr>
      </w:pPr>
    </w:p>
    <w:p w:rsidR="00B848DB" w:rsidRPr="00B848DB" w:rsidRDefault="00B848DB" w:rsidP="00B848DB">
      <w:pPr>
        <w:ind w:right="-568" w:firstLine="567"/>
        <w:rPr>
          <w:b/>
          <w:smallCaps/>
          <w:sz w:val="22"/>
          <w:szCs w:val="22"/>
        </w:rPr>
      </w:pPr>
      <w:r w:rsidRPr="00B848DB">
        <w:rPr>
          <w:b/>
          <w:smallCaps/>
          <w:sz w:val="22"/>
          <w:szCs w:val="22"/>
        </w:rPr>
        <w:t>Respostas:</w:t>
      </w:r>
    </w:p>
    <w:p w:rsidR="00B848DB" w:rsidRDefault="00B848DB" w:rsidP="00B848DB">
      <w:pPr>
        <w:ind w:right="-568" w:firstLine="567"/>
        <w:rPr>
          <w:sz w:val="22"/>
          <w:szCs w:val="22"/>
        </w:rPr>
      </w:pPr>
    </w:p>
    <w:p w:rsidR="00B848DB" w:rsidRPr="0002447A" w:rsidRDefault="00B848DB" w:rsidP="00B848DB">
      <w:pPr>
        <w:ind w:right="-568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 Sim. Entendemos que</w:t>
      </w:r>
      <w:r w:rsidRPr="0002447A">
        <w:rPr>
          <w:sz w:val="22"/>
          <w:szCs w:val="22"/>
        </w:rPr>
        <w:t xml:space="preserve"> a simples opção</w:t>
      </w:r>
      <w:r>
        <w:rPr>
          <w:sz w:val="22"/>
          <w:szCs w:val="22"/>
        </w:rPr>
        <w:t xml:space="preserve"> anual</w:t>
      </w:r>
      <w:r w:rsidRPr="0002447A">
        <w:rPr>
          <w:sz w:val="22"/>
          <w:szCs w:val="22"/>
        </w:rPr>
        <w:t xml:space="preserve"> por parte do contribuinte</w:t>
      </w:r>
      <w:r>
        <w:rPr>
          <w:sz w:val="22"/>
          <w:szCs w:val="22"/>
        </w:rPr>
        <w:t>,</w:t>
      </w:r>
      <w:r w:rsidRPr="000244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realizada como mera informação à repartição fiscal de vinculação </w:t>
      </w:r>
      <w:r w:rsidRPr="0002447A">
        <w:rPr>
          <w:sz w:val="22"/>
          <w:szCs w:val="22"/>
        </w:rPr>
        <w:t>sobre o sistema de apuração, independendo de deferimento, confirmação ou ratificação pela autoridade fiscal</w:t>
      </w:r>
      <w:r>
        <w:rPr>
          <w:sz w:val="22"/>
          <w:szCs w:val="22"/>
        </w:rPr>
        <w:t>,</w:t>
      </w:r>
      <w:r w:rsidRPr="0002447A">
        <w:rPr>
          <w:sz w:val="22"/>
          <w:szCs w:val="22"/>
        </w:rPr>
        <w:t xml:space="preserve"> não se configura </w:t>
      </w:r>
      <w:r>
        <w:rPr>
          <w:sz w:val="22"/>
          <w:szCs w:val="22"/>
        </w:rPr>
        <w:t xml:space="preserve">em </w:t>
      </w:r>
      <w:r w:rsidRPr="0002447A">
        <w:rPr>
          <w:sz w:val="22"/>
          <w:szCs w:val="22"/>
        </w:rPr>
        <w:t>concessão, ampliação ou renovação de benefício fiscal ou financeiro, conforme disposto no art. 1º</w:t>
      </w:r>
      <w:r>
        <w:rPr>
          <w:sz w:val="22"/>
          <w:szCs w:val="22"/>
        </w:rPr>
        <w:t xml:space="preserve"> da Resolução SEFAZ nº 1.050/16</w:t>
      </w:r>
      <w:r w:rsidRPr="0002447A">
        <w:rPr>
          <w:sz w:val="22"/>
          <w:szCs w:val="22"/>
        </w:rPr>
        <w:t>.</w:t>
      </w:r>
      <w:r>
        <w:rPr>
          <w:sz w:val="22"/>
          <w:szCs w:val="22"/>
        </w:rPr>
        <w:t xml:space="preserve"> Portanto, o consulente poderá continuar a usufruir a referida redução de base de cálculo prevista no Convênio ICMS 78/15 e no Título I do Livro X do RICMS/00.</w:t>
      </w:r>
    </w:p>
    <w:p w:rsidR="00B848DB" w:rsidRPr="0002447A" w:rsidRDefault="00B848DB" w:rsidP="00B848DB">
      <w:pPr>
        <w:tabs>
          <w:tab w:val="left" w:pos="9214"/>
        </w:tabs>
        <w:ind w:right="-285" w:firstLine="426"/>
        <w:rPr>
          <w:sz w:val="22"/>
          <w:szCs w:val="22"/>
        </w:rPr>
      </w:pPr>
    </w:p>
    <w:p w:rsidR="00B848DB" w:rsidRDefault="00B848DB" w:rsidP="00B848DB">
      <w:pPr>
        <w:tabs>
          <w:tab w:val="left" w:pos="9214"/>
        </w:tabs>
        <w:ind w:right="-568" w:firstLine="426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</w:t>
      </w:r>
      <w:proofErr w:type="gramEnd"/>
      <w:r>
        <w:rPr>
          <w:sz w:val="22"/>
          <w:szCs w:val="22"/>
        </w:rPr>
        <w:t xml:space="preserve">) Sim. A consulente deve calcular e depositar o FEEF na forma prevista na Lei nº </w:t>
      </w:r>
      <w:r w:rsidRPr="0002447A">
        <w:rPr>
          <w:sz w:val="22"/>
          <w:szCs w:val="22"/>
        </w:rPr>
        <w:t>7.428 de 25 de agosto de 2016</w:t>
      </w:r>
      <w:r>
        <w:rPr>
          <w:sz w:val="22"/>
          <w:szCs w:val="22"/>
        </w:rPr>
        <w:t>,</w:t>
      </w:r>
      <w:r w:rsidRPr="0002447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02447A">
        <w:rPr>
          <w:sz w:val="22"/>
          <w:szCs w:val="22"/>
        </w:rPr>
        <w:t xml:space="preserve">o Decreto nº 45.810. </w:t>
      </w:r>
      <w:proofErr w:type="gramStart"/>
      <w:r w:rsidRPr="0002447A">
        <w:rPr>
          <w:sz w:val="22"/>
          <w:szCs w:val="22"/>
        </w:rPr>
        <w:t>de</w:t>
      </w:r>
      <w:proofErr w:type="gramEnd"/>
      <w:r w:rsidRPr="0002447A">
        <w:rPr>
          <w:sz w:val="22"/>
          <w:szCs w:val="22"/>
        </w:rPr>
        <w:t xml:space="preserve"> 3 de novembro de 2016</w:t>
      </w:r>
      <w:r>
        <w:rPr>
          <w:sz w:val="22"/>
          <w:szCs w:val="22"/>
        </w:rPr>
        <w:t xml:space="preserve"> e na Resolução SEFAZ nº 33, de 30 de março de 2017.</w:t>
      </w:r>
    </w:p>
    <w:p w:rsidR="00B848DB" w:rsidRDefault="00B848DB" w:rsidP="00B848DB">
      <w:pPr>
        <w:tabs>
          <w:tab w:val="left" w:pos="9214"/>
        </w:tabs>
        <w:ind w:right="-285" w:firstLine="426"/>
        <w:rPr>
          <w:sz w:val="22"/>
          <w:szCs w:val="22"/>
        </w:rPr>
      </w:pPr>
    </w:p>
    <w:p w:rsidR="00B848DB" w:rsidRPr="0002447A" w:rsidRDefault="00B848DB" w:rsidP="00B848DB">
      <w:pPr>
        <w:tabs>
          <w:tab w:val="left" w:pos="9214"/>
        </w:tabs>
        <w:ind w:right="-285" w:firstLine="426"/>
        <w:rPr>
          <w:sz w:val="22"/>
          <w:szCs w:val="22"/>
        </w:rPr>
      </w:pPr>
    </w:p>
    <w:p w:rsidR="00B848DB" w:rsidRPr="0002447A" w:rsidRDefault="00B848DB" w:rsidP="00B848DB">
      <w:pPr>
        <w:tabs>
          <w:tab w:val="left" w:pos="9214"/>
        </w:tabs>
        <w:ind w:right="-285" w:firstLine="426"/>
        <w:rPr>
          <w:sz w:val="22"/>
          <w:szCs w:val="22"/>
        </w:rPr>
      </w:pPr>
      <w:r w:rsidRPr="0002447A">
        <w:rPr>
          <w:sz w:val="22"/>
          <w:szCs w:val="22"/>
        </w:rPr>
        <w:t xml:space="preserve">Em, </w:t>
      </w:r>
      <w:r>
        <w:rPr>
          <w:sz w:val="22"/>
          <w:szCs w:val="22"/>
        </w:rPr>
        <w:t>1</w:t>
      </w:r>
      <w:r w:rsidRPr="0002447A">
        <w:rPr>
          <w:sz w:val="22"/>
          <w:szCs w:val="22"/>
        </w:rPr>
        <w:t xml:space="preserve">0 de </w:t>
      </w:r>
      <w:r>
        <w:rPr>
          <w:sz w:val="22"/>
          <w:szCs w:val="22"/>
        </w:rPr>
        <w:t>maio</w:t>
      </w:r>
      <w:r w:rsidRPr="0002447A">
        <w:rPr>
          <w:sz w:val="22"/>
          <w:szCs w:val="22"/>
        </w:rPr>
        <w:t xml:space="preserve"> de </w:t>
      </w:r>
      <w:proofErr w:type="gramStart"/>
      <w:r w:rsidRPr="0002447A">
        <w:rPr>
          <w:sz w:val="22"/>
          <w:szCs w:val="22"/>
        </w:rPr>
        <w:t>2017</w:t>
      </w:r>
      <w:proofErr w:type="gramEnd"/>
    </w:p>
    <w:p w:rsidR="00B848DB" w:rsidRPr="0002447A" w:rsidRDefault="00B848DB" w:rsidP="00B848DB">
      <w:pPr>
        <w:ind w:right="-169" w:firstLine="426"/>
        <w:rPr>
          <w:sz w:val="22"/>
          <w:szCs w:val="22"/>
        </w:rPr>
      </w:pPr>
    </w:p>
    <w:sectPr w:rsidR="00B848DB" w:rsidRPr="0002447A" w:rsidSect="001A5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970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B" w:rsidRDefault="00B848DB" w:rsidP="0067740F">
      <w:r>
        <w:separator/>
      </w:r>
    </w:p>
  </w:endnote>
  <w:endnote w:type="continuationSeparator" w:id="0">
    <w:p w:rsidR="00B848DB" w:rsidRDefault="00B848DB" w:rsidP="0067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A5" w:rsidRDefault="001A50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A5" w:rsidRDefault="001A50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A5" w:rsidRDefault="001A50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B" w:rsidRDefault="00B848DB" w:rsidP="0067740F">
      <w:r>
        <w:separator/>
      </w:r>
    </w:p>
  </w:footnote>
  <w:footnote w:type="continuationSeparator" w:id="0">
    <w:p w:rsidR="00B848DB" w:rsidRDefault="00B848DB" w:rsidP="0067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A5" w:rsidRDefault="001A50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B848DB" w:rsidRPr="0055216D" w:rsidTr="00380DD2">
      <w:trPr>
        <w:cantSplit/>
        <w:trHeight w:val="1180"/>
      </w:trPr>
      <w:tc>
        <w:tcPr>
          <w:tcW w:w="6307" w:type="dxa"/>
        </w:tcPr>
        <w:p w:rsidR="00B848DB" w:rsidRPr="0055216D" w:rsidRDefault="00B848DB" w:rsidP="00380DD2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</w:rPr>
          </w:pPr>
          <w:r>
            <w:rPr>
              <w:noProof/>
              <w:szCs w:val="24"/>
            </w:rPr>
            <w:drawing>
              <wp:inline distT="0" distB="0" distL="0" distR="0" wp14:anchorId="306AED7D" wp14:editId="1125A08A">
                <wp:extent cx="914400" cy="897255"/>
                <wp:effectExtent l="0" t="0" r="0" b="0"/>
                <wp:docPr id="3" name="Imagem 3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48DB" w:rsidRPr="008C5552" w:rsidRDefault="00B848DB" w:rsidP="00380DD2">
          <w:pPr>
            <w:ind w:left="851"/>
            <w:jc w:val="center"/>
            <w:rPr>
              <w:b/>
              <w:sz w:val="20"/>
              <w:lang w:eastAsia="en-US"/>
            </w:rPr>
          </w:pPr>
          <w:r w:rsidRPr="008C5552">
            <w:rPr>
              <w:b/>
              <w:sz w:val="20"/>
            </w:rPr>
            <w:t>Governo do Estado do Rio de Janeiro</w:t>
          </w:r>
        </w:p>
        <w:p w:rsidR="00B848DB" w:rsidRPr="008C5552" w:rsidRDefault="00B848DB" w:rsidP="00380DD2">
          <w:pPr>
            <w:ind w:left="851"/>
            <w:jc w:val="center"/>
            <w:rPr>
              <w:b/>
              <w:sz w:val="20"/>
            </w:rPr>
          </w:pPr>
          <w:r w:rsidRPr="008C5552">
            <w:rPr>
              <w:b/>
              <w:sz w:val="20"/>
            </w:rPr>
            <w:t>Secretaria de Estado de Fazenda</w:t>
          </w:r>
          <w:r>
            <w:rPr>
              <w:b/>
              <w:sz w:val="20"/>
            </w:rPr>
            <w:t xml:space="preserve"> e Planejamento</w:t>
          </w:r>
        </w:p>
        <w:p w:rsidR="00B848DB" w:rsidRDefault="00B848DB" w:rsidP="00380DD2">
          <w:pPr>
            <w:ind w:left="851"/>
            <w:jc w:val="center"/>
            <w:rPr>
              <w:b/>
              <w:sz w:val="20"/>
            </w:rPr>
          </w:pPr>
          <w:r w:rsidRPr="008C5552">
            <w:rPr>
              <w:b/>
              <w:sz w:val="20"/>
            </w:rPr>
            <w:t>Superintendência de Tributação</w:t>
          </w:r>
        </w:p>
        <w:p w:rsidR="00B848DB" w:rsidRPr="0055216D" w:rsidRDefault="00B848DB" w:rsidP="00B949FD">
          <w:pPr>
            <w:ind w:left="851"/>
            <w:jc w:val="center"/>
            <w:rPr>
              <w:rFonts w:ascii="Arial" w:hAnsi="Arial" w:cs="Arial"/>
              <w:b/>
            </w:rPr>
          </w:pPr>
          <w:r>
            <w:rPr>
              <w:b/>
              <w:sz w:val="20"/>
            </w:rPr>
            <w:t>Coordenação de Consultas Jurídico-Tributárias</w:t>
          </w:r>
        </w:p>
      </w:tc>
      <w:tc>
        <w:tcPr>
          <w:tcW w:w="2763" w:type="dxa"/>
          <w:hideMark/>
        </w:tcPr>
        <w:p w:rsidR="00B848DB" w:rsidRDefault="00B848DB" w:rsidP="00380DD2"/>
        <w:tbl>
          <w:tblPr>
            <w:tblpPr w:leftFromText="141" w:rightFromText="141" w:vertAnchor="page" w:horzAnchor="margin" w:tblpY="361"/>
            <w:tblOverlap w:val="never"/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B848DB" w:rsidTr="00380DD2">
            <w:trPr>
              <w:cantSplit/>
              <w:trHeight w:val="272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848DB" w:rsidRPr="00B6462F" w:rsidRDefault="00B848DB" w:rsidP="00380DD2">
                <w:pPr>
                  <w:pStyle w:val="Cabealho"/>
                  <w:snapToGrid w:val="0"/>
                  <w:jc w:val="center"/>
                  <w:rPr>
                    <w:b/>
                    <w:sz w:val="20"/>
                  </w:rPr>
                </w:pPr>
                <w:r w:rsidRPr="00B6462F">
                  <w:rPr>
                    <w:b/>
                    <w:sz w:val="20"/>
                  </w:rPr>
                  <w:t>Serviço Público Estadual</w:t>
                </w:r>
              </w:p>
            </w:tc>
          </w:tr>
          <w:tr w:rsidR="00B848DB" w:rsidTr="00380DD2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848DB" w:rsidRPr="00B6462F" w:rsidRDefault="00B848DB" w:rsidP="006B310D">
                <w:pPr>
                  <w:pStyle w:val="Cabealho"/>
                  <w:snapToGrid w:val="0"/>
                  <w:rPr>
                    <w:sz w:val="20"/>
                  </w:rPr>
                </w:pPr>
                <w:r w:rsidRPr="00B6462F">
                  <w:rPr>
                    <w:sz w:val="20"/>
                  </w:rPr>
                  <w:t>Proc. n° E-0</w:t>
                </w:r>
                <w:r>
                  <w:rPr>
                    <w:sz w:val="20"/>
                  </w:rPr>
                  <w:t>4</w:t>
                </w:r>
                <w:r w:rsidRPr="00B6462F">
                  <w:rPr>
                    <w:sz w:val="20"/>
                  </w:rPr>
                  <w:t>/</w:t>
                </w:r>
                <w:r>
                  <w:rPr>
                    <w:sz w:val="20"/>
                  </w:rPr>
                  <w:t>079/1585/17</w:t>
                </w:r>
              </w:p>
            </w:tc>
          </w:tr>
          <w:tr w:rsidR="00B848DB" w:rsidTr="00380DD2">
            <w:trPr>
              <w:cantSplit/>
              <w:trHeight w:val="272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848DB" w:rsidRPr="00B6462F" w:rsidRDefault="00B848DB" w:rsidP="003A2D67">
                <w:pPr>
                  <w:pStyle w:val="Cabealho"/>
                  <w:snapToGrid w:val="0"/>
                  <w:rPr>
                    <w:sz w:val="20"/>
                  </w:rPr>
                </w:pPr>
                <w:r w:rsidRPr="00B6462F">
                  <w:rPr>
                    <w:sz w:val="20"/>
                  </w:rPr>
                  <w:t xml:space="preserve">Data: </w:t>
                </w:r>
                <w:r>
                  <w:rPr>
                    <w:sz w:val="20"/>
                  </w:rPr>
                  <w:t>20/04</w:t>
                </w:r>
                <w:r w:rsidRPr="00B6462F">
                  <w:rPr>
                    <w:sz w:val="20"/>
                  </w:rPr>
                  <w:t>/</w:t>
                </w:r>
                <w:r>
                  <w:rPr>
                    <w:sz w:val="20"/>
                  </w:rPr>
                  <w:t>17</w:t>
                </w:r>
                <w:r w:rsidRPr="00B6462F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 w:rsidRPr="00B6462F">
                  <w:rPr>
                    <w:sz w:val="20"/>
                  </w:rPr>
                  <w:t xml:space="preserve"> Fls.</w:t>
                </w:r>
                <w:r>
                  <w:rPr>
                    <w:sz w:val="20"/>
                  </w:rPr>
                  <w:t xml:space="preserve"> </w:t>
                </w:r>
                <w:r w:rsidRPr="003A2D67">
                  <w:rPr>
                    <w:sz w:val="20"/>
                  </w:rPr>
                  <w:fldChar w:fldCharType="begin"/>
                </w:r>
                <w:r w:rsidRPr="003A2D67">
                  <w:rPr>
                    <w:sz w:val="20"/>
                  </w:rPr>
                  <w:instrText>PAGE   \* MERGEFORMAT</w:instrText>
                </w:r>
                <w:r w:rsidRPr="003A2D67">
                  <w:rPr>
                    <w:sz w:val="20"/>
                  </w:rPr>
                  <w:fldChar w:fldCharType="separate"/>
                </w:r>
                <w:r w:rsidR="001A50A5">
                  <w:rPr>
                    <w:noProof/>
                    <w:sz w:val="20"/>
                  </w:rPr>
                  <w:t>53</w:t>
                </w:r>
                <w:r w:rsidRPr="003A2D67">
                  <w:rPr>
                    <w:sz w:val="20"/>
                  </w:rPr>
                  <w:fldChar w:fldCharType="end"/>
                </w:r>
              </w:p>
            </w:tc>
          </w:tr>
          <w:tr w:rsidR="00B848DB" w:rsidTr="00380DD2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B848DB" w:rsidRDefault="00B848DB" w:rsidP="00380DD2">
                <w:pPr>
                  <w:pStyle w:val="Cabealho"/>
                  <w:snapToGrid w:val="0"/>
                  <w:rPr>
                    <w:sz w:val="20"/>
                  </w:rPr>
                </w:pPr>
                <w:r w:rsidRPr="00B6462F">
                  <w:rPr>
                    <w:sz w:val="20"/>
                  </w:rPr>
                  <w:t>Rubrica: _____________</w:t>
                </w:r>
              </w:p>
              <w:p w:rsidR="00B848DB" w:rsidRPr="00542EA5" w:rsidRDefault="00B848DB" w:rsidP="00B949FD">
                <w:pPr>
                  <w:pStyle w:val="Cabealho"/>
                  <w:snapToGrid w:val="0"/>
                  <w:jc w:val="right"/>
                  <w:rPr>
                    <w:sz w:val="18"/>
                    <w:szCs w:val="18"/>
                  </w:rPr>
                </w:pPr>
                <w:bookmarkStart w:id="0" w:name="_GoBack"/>
                <w:bookmarkEnd w:id="0"/>
              </w:p>
            </w:tc>
          </w:tr>
        </w:tbl>
        <w:p w:rsidR="00B848DB" w:rsidRPr="0055216D" w:rsidRDefault="00B848DB" w:rsidP="00380DD2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B848DB" w:rsidRDefault="00B848DB" w:rsidP="00565A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A5" w:rsidRDefault="001A5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CDA"/>
    <w:multiLevelType w:val="hybridMultilevel"/>
    <w:tmpl w:val="CB8E8C08"/>
    <w:lvl w:ilvl="0" w:tplc="61AEDA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418FD"/>
    <w:multiLevelType w:val="hybridMultilevel"/>
    <w:tmpl w:val="1EFE45B6"/>
    <w:lvl w:ilvl="0" w:tplc="A3429D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934DD"/>
    <w:multiLevelType w:val="hybridMultilevel"/>
    <w:tmpl w:val="69B24E52"/>
    <w:lvl w:ilvl="0" w:tplc="B2C83E5A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4"/>
    <w:rsid w:val="0002046C"/>
    <w:rsid w:val="00027780"/>
    <w:rsid w:val="0004057D"/>
    <w:rsid w:val="000670B2"/>
    <w:rsid w:val="000A5FAC"/>
    <w:rsid w:val="000B25C7"/>
    <w:rsid w:val="000C2D31"/>
    <w:rsid w:val="000F3FF4"/>
    <w:rsid w:val="00197185"/>
    <w:rsid w:val="001A50A5"/>
    <w:rsid w:val="001F3869"/>
    <w:rsid w:val="001F77F4"/>
    <w:rsid w:val="001F7993"/>
    <w:rsid w:val="00205296"/>
    <w:rsid w:val="00222294"/>
    <w:rsid w:val="002227A5"/>
    <w:rsid w:val="00223222"/>
    <w:rsid w:val="00223D2A"/>
    <w:rsid w:val="0023140E"/>
    <w:rsid w:val="00242598"/>
    <w:rsid w:val="00272037"/>
    <w:rsid w:val="00276CC8"/>
    <w:rsid w:val="002B270D"/>
    <w:rsid w:val="002D482C"/>
    <w:rsid w:val="002D5F67"/>
    <w:rsid w:val="00326718"/>
    <w:rsid w:val="00327AC3"/>
    <w:rsid w:val="00340114"/>
    <w:rsid w:val="0034415C"/>
    <w:rsid w:val="00380DD2"/>
    <w:rsid w:val="003A2D67"/>
    <w:rsid w:val="003A4777"/>
    <w:rsid w:val="003D5FE0"/>
    <w:rsid w:val="00400298"/>
    <w:rsid w:val="00410DAF"/>
    <w:rsid w:val="00460A53"/>
    <w:rsid w:val="00473DD8"/>
    <w:rsid w:val="004B1F6D"/>
    <w:rsid w:val="004B2DA1"/>
    <w:rsid w:val="004C2E9A"/>
    <w:rsid w:val="004E2666"/>
    <w:rsid w:val="00552D14"/>
    <w:rsid w:val="00565A07"/>
    <w:rsid w:val="00567B39"/>
    <w:rsid w:val="00632DAC"/>
    <w:rsid w:val="00642491"/>
    <w:rsid w:val="00645386"/>
    <w:rsid w:val="006506DD"/>
    <w:rsid w:val="006564C4"/>
    <w:rsid w:val="0067740F"/>
    <w:rsid w:val="006908F1"/>
    <w:rsid w:val="006A3FA7"/>
    <w:rsid w:val="006B310D"/>
    <w:rsid w:val="006B649F"/>
    <w:rsid w:val="006F3066"/>
    <w:rsid w:val="0070606B"/>
    <w:rsid w:val="0075034A"/>
    <w:rsid w:val="00770537"/>
    <w:rsid w:val="008061DC"/>
    <w:rsid w:val="008224D0"/>
    <w:rsid w:val="008228FE"/>
    <w:rsid w:val="00845D2D"/>
    <w:rsid w:val="0088653B"/>
    <w:rsid w:val="008B5A4D"/>
    <w:rsid w:val="008C483C"/>
    <w:rsid w:val="008C5552"/>
    <w:rsid w:val="008D6637"/>
    <w:rsid w:val="008E4558"/>
    <w:rsid w:val="009226C9"/>
    <w:rsid w:val="00922F0C"/>
    <w:rsid w:val="009319C2"/>
    <w:rsid w:val="009A6F07"/>
    <w:rsid w:val="009D101B"/>
    <w:rsid w:val="009E6661"/>
    <w:rsid w:val="00A360EB"/>
    <w:rsid w:val="00A64BBD"/>
    <w:rsid w:val="00A67DC6"/>
    <w:rsid w:val="00A86A44"/>
    <w:rsid w:val="00AA557B"/>
    <w:rsid w:val="00AB4A5D"/>
    <w:rsid w:val="00B02718"/>
    <w:rsid w:val="00B848DB"/>
    <w:rsid w:val="00B949FD"/>
    <w:rsid w:val="00B977BE"/>
    <w:rsid w:val="00BC4751"/>
    <w:rsid w:val="00BC70DE"/>
    <w:rsid w:val="00C633F4"/>
    <w:rsid w:val="00C9776F"/>
    <w:rsid w:val="00CB1579"/>
    <w:rsid w:val="00CF54A5"/>
    <w:rsid w:val="00D564DF"/>
    <w:rsid w:val="00D70F4D"/>
    <w:rsid w:val="00D7516A"/>
    <w:rsid w:val="00D82284"/>
    <w:rsid w:val="00DA5B8E"/>
    <w:rsid w:val="00DB3FCD"/>
    <w:rsid w:val="00DD55B4"/>
    <w:rsid w:val="00E1464E"/>
    <w:rsid w:val="00EA0661"/>
    <w:rsid w:val="00F350FF"/>
    <w:rsid w:val="00F70367"/>
    <w:rsid w:val="00F82EC6"/>
    <w:rsid w:val="00F87526"/>
    <w:rsid w:val="00F927A6"/>
    <w:rsid w:val="00FA1E5C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114"/>
    <w:pPr>
      <w:keepNext/>
      <w:ind w:right="75"/>
      <w:outlineLvl w:val="0"/>
    </w:pPr>
    <w:rPr>
      <w:rFonts w:ascii="Arial" w:hAnsi="Arial" w:cs="Arial"/>
      <w:b/>
      <w:bCs/>
      <w:smallCaps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340114"/>
    <w:pPr>
      <w:keepNext/>
      <w:ind w:left="68"/>
      <w:outlineLvl w:val="1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40114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0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908F1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82EC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82E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82EC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203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20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203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77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0DD2"/>
  </w:style>
  <w:style w:type="character" w:styleId="Hyperlink">
    <w:name w:val="Hyperlink"/>
    <w:basedOn w:val="Fontepargpadro"/>
    <w:uiPriority w:val="99"/>
    <w:semiHidden/>
    <w:unhideWhenUsed/>
    <w:rsid w:val="00CF54A5"/>
    <w:rPr>
      <w:color w:val="0000FF"/>
      <w:u w:val="single"/>
    </w:rPr>
  </w:style>
  <w:style w:type="paragraph" w:customStyle="1" w:styleId="STF-Padro">
    <w:name w:val="STF-Padrão"/>
    <w:basedOn w:val="Normal"/>
    <w:uiPriority w:val="99"/>
    <w:rsid w:val="00CF54A5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</w:pPr>
    <w:rPr>
      <w:rFonts w:ascii="Palatino Linotype" w:eastAsiaTheme="minorEastAsia" w:cs="Palatino Linotype"/>
      <w:sz w:val="26"/>
      <w:szCs w:val="26"/>
    </w:rPr>
  </w:style>
  <w:style w:type="paragraph" w:customStyle="1" w:styleId="STF-Citao1">
    <w:name w:val="STF-Citação1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ind w:left="1701" w:firstLine="567"/>
    </w:pPr>
    <w:rPr>
      <w:rFonts w:ascii="Palatino Linotype" w:eastAsiaTheme="minorEastAsia" w:cs="Palatino Linotype"/>
      <w:szCs w:val="24"/>
    </w:rPr>
  </w:style>
  <w:style w:type="paragraph" w:customStyle="1" w:styleId="STF-PadroCentralizado">
    <w:name w:val="STF-PadrãoCentralizado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jc w:val="center"/>
    </w:pPr>
    <w:rPr>
      <w:rFonts w:ascii="Palatino Linotype" w:eastAsiaTheme="minorEastAsia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114"/>
    <w:pPr>
      <w:keepNext/>
      <w:ind w:right="75"/>
      <w:outlineLvl w:val="0"/>
    </w:pPr>
    <w:rPr>
      <w:rFonts w:ascii="Arial" w:hAnsi="Arial" w:cs="Arial"/>
      <w:b/>
      <w:bCs/>
      <w:smallCaps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340114"/>
    <w:pPr>
      <w:keepNext/>
      <w:ind w:left="68"/>
      <w:outlineLvl w:val="1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40114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0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908F1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82EC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82E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82EC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203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20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203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77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0DD2"/>
  </w:style>
  <w:style w:type="character" w:styleId="Hyperlink">
    <w:name w:val="Hyperlink"/>
    <w:basedOn w:val="Fontepargpadro"/>
    <w:uiPriority w:val="99"/>
    <w:semiHidden/>
    <w:unhideWhenUsed/>
    <w:rsid w:val="00CF54A5"/>
    <w:rPr>
      <w:color w:val="0000FF"/>
      <w:u w:val="single"/>
    </w:rPr>
  </w:style>
  <w:style w:type="paragraph" w:customStyle="1" w:styleId="STF-Padro">
    <w:name w:val="STF-Padrão"/>
    <w:basedOn w:val="Normal"/>
    <w:uiPriority w:val="99"/>
    <w:rsid w:val="00CF54A5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</w:pPr>
    <w:rPr>
      <w:rFonts w:ascii="Palatino Linotype" w:eastAsiaTheme="minorEastAsia" w:cs="Palatino Linotype"/>
      <w:sz w:val="26"/>
      <w:szCs w:val="26"/>
    </w:rPr>
  </w:style>
  <w:style w:type="paragraph" w:customStyle="1" w:styleId="STF-Citao1">
    <w:name w:val="STF-Citação1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ind w:left="1701" w:firstLine="567"/>
    </w:pPr>
    <w:rPr>
      <w:rFonts w:ascii="Palatino Linotype" w:eastAsiaTheme="minorEastAsia" w:cs="Palatino Linotype"/>
      <w:szCs w:val="24"/>
    </w:rPr>
  </w:style>
  <w:style w:type="paragraph" w:customStyle="1" w:styleId="STF-PadroCentralizado">
    <w:name w:val="STF-PadrãoCentralizado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jc w:val="center"/>
    </w:pPr>
    <w:rPr>
      <w:rFonts w:ascii="Palatino Linotype" w:eastAsiaTheme="minorEastAsia" w:cs="Palatino Linotyp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25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897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1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6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9F6D-3BF3-41B0-8760-E6B2BF85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Marina Cunha M. Cunha</dc:creator>
  <cp:lastModifiedBy>Thereza Marina Cunha M. Cunha</cp:lastModifiedBy>
  <cp:revision>7</cp:revision>
  <cp:lastPrinted>2017-04-24T18:15:00Z</cp:lastPrinted>
  <dcterms:created xsi:type="dcterms:W3CDTF">2017-05-08T21:25:00Z</dcterms:created>
  <dcterms:modified xsi:type="dcterms:W3CDTF">2017-05-17T20:29:00Z</dcterms:modified>
</cp:coreProperties>
</file>