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FB2908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B290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1223F74" wp14:editId="29E92E7E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06145" cy="635635"/>
            <wp:effectExtent l="0" t="0" r="8255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FB2908">
        <w:rPr>
          <w:sz w:val="24"/>
          <w:szCs w:val="24"/>
        </w:rPr>
        <w:br w:type="textWrapping" w:clear="all"/>
      </w:r>
      <w:r w:rsidR="00D61FED" w:rsidRPr="00FB2908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FB2908">
        <w:rPr>
          <w:rFonts w:ascii="Times New Roman" w:hAnsi="Times New Roman" w:cs="Times New Roman"/>
          <w:sz w:val="14"/>
          <w:szCs w:val="14"/>
        </w:rPr>
        <w:t>E</w:t>
      </w:r>
      <w:r w:rsidR="00D61FED" w:rsidRPr="00FB2908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FB2908">
        <w:rPr>
          <w:rFonts w:ascii="Times New Roman" w:hAnsi="Times New Roman" w:cs="Times New Roman"/>
          <w:sz w:val="14"/>
          <w:szCs w:val="14"/>
        </w:rPr>
        <w:t>R</w:t>
      </w:r>
      <w:r w:rsidR="00D61FED" w:rsidRPr="00FB2908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FB2908">
        <w:rPr>
          <w:rFonts w:ascii="Times New Roman" w:hAnsi="Times New Roman" w:cs="Times New Roman"/>
          <w:sz w:val="14"/>
          <w:szCs w:val="14"/>
        </w:rPr>
        <w:t>J</w:t>
      </w:r>
      <w:r w:rsidR="00D61FED" w:rsidRPr="00FB2908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FB2908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B2908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FB2908">
        <w:rPr>
          <w:rFonts w:ascii="Times New Roman" w:hAnsi="Times New Roman" w:cs="Times New Roman"/>
          <w:sz w:val="14"/>
          <w:szCs w:val="14"/>
        </w:rPr>
        <w:t>E</w:t>
      </w:r>
      <w:r w:rsidRPr="00FB2908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FB2908">
        <w:rPr>
          <w:rFonts w:ascii="Times New Roman" w:hAnsi="Times New Roman" w:cs="Times New Roman"/>
          <w:sz w:val="14"/>
          <w:szCs w:val="14"/>
        </w:rPr>
        <w:t>F</w:t>
      </w:r>
      <w:r w:rsidRPr="00FB2908">
        <w:rPr>
          <w:rFonts w:ascii="Times New Roman" w:hAnsi="Times New Roman" w:cs="Times New Roman"/>
          <w:sz w:val="14"/>
          <w:szCs w:val="14"/>
        </w:rPr>
        <w:t>azenda</w:t>
      </w:r>
      <w:r w:rsidR="000414DE" w:rsidRPr="00FB2908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FB2908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FB2908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FB2908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FB2908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FB2908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p w:rsidR="0017567B" w:rsidRPr="00FB2908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FB2908" w:rsidTr="00227869">
        <w:tc>
          <w:tcPr>
            <w:tcW w:w="1488" w:type="dxa"/>
            <w:shd w:val="clear" w:color="auto" w:fill="auto"/>
          </w:tcPr>
          <w:p w:rsidR="006051EE" w:rsidRPr="00FB2908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29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FB2908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B2908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FB2908" w:rsidRDefault="008E3142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B290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Depósito de </w:t>
            </w:r>
            <w:r w:rsidR="005D1D5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Mercadorias de </w:t>
            </w:r>
            <w:r w:rsidRPr="00FB2908">
              <w:rPr>
                <w:rFonts w:ascii="Times New Roman" w:hAnsi="Times New Roman" w:cs="Times New Roman"/>
                <w:smallCaps/>
                <w:sz w:val="24"/>
                <w:szCs w:val="24"/>
              </w:rPr>
              <w:t>terceiros</w:t>
            </w:r>
            <w:r w:rsidR="005A34A7" w:rsidRPr="00FB2908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="00253825" w:rsidRPr="00FB290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6051EE" w:rsidRPr="00FB2908" w:rsidRDefault="006051EE" w:rsidP="00DD6D35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29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Consulta Externa nº</w:t>
            </w:r>
            <w:proofErr w:type="gramStart"/>
            <w:r w:rsidRPr="00FB29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  <w:proofErr w:type="gramEnd"/>
            <w:r w:rsidR="00DD6D3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056</w:t>
            </w:r>
            <w:r w:rsidRPr="00FB29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8E3142" w:rsidRPr="00FB290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</w:tr>
    </w:tbl>
    <w:p w:rsidR="00B96A31" w:rsidRDefault="00B96A31" w:rsidP="00B9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6D" w:rsidRDefault="0072236D" w:rsidP="00B9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6D" w:rsidRPr="00FB2908" w:rsidRDefault="0072236D" w:rsidP="00B96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BA" w:rsidRPr="00FB2908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FB2908">
        <w:rPr>
          <w:b/>
          <w:sz w:val="24"/>
        </w:rPr>
        <w:t>I – RELATÓRIO</w:t>
      </w:r>
    </w:p>
    <w:p w:rsidR="00282D42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908">
        <w:rPr>
          <w:rFonts w:ascii="Times New Roman" w:hAnsi="Times New Roman" w:cs="Times New Roman"/>
          <w:sz w:val="24"/>
          <w:szCs w:val="24"/>
        </w:rPr>
        <w:t>A</w:t>
      </w:r>
      <w:r w:rsidR="00227869" w:rsidRPr="00FB2908">
        <w:rPr>
          <w:rFonts w:ascii="Times New Roman" w:hAnsi="Times New Roman" w:cs="Times New Roman"/>
          <w:sz w:val="24"/>
          <w:szCs w:val="24"/>
        </w:rPr>
        <w:t xml:space="preserve"> petição inicial (</w:t>
      </w:r>
      <w:r w:rsidR="00227869" w:rsidRPr="00FB2908">
        <w:rPr>
          <w:rFonts w:ascii="Times New Roman" w:hAnsi="Times New Roman" w:cs="Times New Roman"/>
          <w:i/>
          <w:sz w:val="24"/>
          <w:szCs w:val="24"/>
        </w:rPr>
        <w:t>fl</w:t>
      </w:r>
      <w:r w:rsidR="00A321F4" w:rsidRPr="00FB2908">
        <w:rPr>
          <w:rFonts w:ascii="Times New Roman" w:hAnsi="Times New Roman" w:cs="Times New Roman"/>
          <w:i/>
          <w:sz w:val="24"/>
          <w:szCs w:val="24"/>
        </w:rPr>
        <w:t>s</w:t>
      </w:r>
      <w:r w:rsidR="00227869" w:rsidRPr="00FB2908">
        <w:rPr>
          <w:rFonts w:ascii="Times New Roman" w:hAnsi="Times New Roman" w:cs="Times New Roman"/>
          <w:sz w:val="24"/>
          <w:szCs w:val="24"/>
        </w:rPr>
        <w:t xml:space="preserve">. </w:t>
      </w:r>
      <w:r w:rsidR="00253825" w:rsidRPr="00FB2908">
        <w:rPr>
          <w:rFonts w:ascii="Times New Roman" w:hAnsi="Times New Roman" w:cs="Times New Roman"/>
          <w:sz w:val="24"/>
          <w:szCs w:val="24"/>
        </w:rPr>
        <w:t>03</w:t>
      </w:r>
      <w:r w:rsidR="00A321F4" w:rsidRPr="00FB2908">
        <w:rPr>
          <w:rFonts w:ascii="Times New Roman" w:hAnsi="Times New Roman" w:cs="Times New Roman"/>
          <w:sz w:val="24"/>
          <w:szCs w:val="24"/>
        </w:rPr>
        <w:t xml:space="preserve"> a </w:t>
      </w:r>
      <w:r w:rsidR="006C01B3" w:rsidRPr="00FB2908">
        <w:rPr>
          <w:rFonts w:ascii="Times New Roman" w:hAnsi="Times New Roman" w:cs="Times New Roman"/>
          <w:sz w:val="24"/>
          <w:szCs w:val="24"/>
        </w:rPr>
        <w:t>08</w:t>
      </w:r>
      <w:r w:rsidR="00227869" w:rsidRPr="00FB2908">
        <w:rPr>
          <w:rFonts w:ascii="Times New Roman" w:hAnsi="Times New Roman" w:cs="Times New Roman"/>
          <w:sz w:val="24"/>
          <w:szCs w:val="24"/>
        </w:rPr>
        <w:t>)</w:t>
      </w:r>
      <w:r w:rsidRPr="00FB2908">
        <w:rPr>
          <w:rFonts w:ascii="Times New Roman" w:hAnsi="Times New Roman" w:cs="Times New Roman"/>
          <w:sz w:val="24"/>
          <w:szCs w:val="24"/>
        </w:rPr>
        <w:t xml:space="preserve"> está</w:t>
      </w:r>
      <w:r w:rsidR="00227869" w:rsidRPr="00FB2908">
        <w:rPr>
          <w:rFonts w:ascii="Times New Roman" w:hAnsi="Times New Roman" w:cs="Times New Roman"/>
          <w:sz w:val="24"/>
          <w:szCs w:val="24"/>
        </w:rPr>
        <w:t xml:space="preserve"> devidamente assinada (</w:t>
      </w:r>
      <w:r w:rsidR="00227869" w:rsidRPr="00FB2908">
        <w:rPr>
          <w:rFonts w:ascii="Times New Roman" w:hAnsi="Times New Roman" w:cs="Times New Roman"/>
          <w:i/>
          <w:sz w:val="24"/>
          <w:szCs w:val="24"/>
        </w:rPr>
        <w:t>fls</w:t>
      </w:r>
      <w:r w:rsidR="00227869" w:rsidRPr="00FB2908">
        <w:rPr>
          <w:rFonts w:ascii="Times New Roman" w:hAnsi="Times New Roman" w:cs="Times New Roman"/>
          <w:sz w:val="24"/>
          <w:szCs w:val="24"/>
        </w:rPr>
        <w:t xml:space="preserve">. </w:t>
      </w:r>
      <w:r w:rsidR="006C01B3" w:rsidRPr="00FB2908">
        <w:rPr>
          <w:rFonts w:ascii="Times New Roman" w:hAnsi="Times New Roman" w:cs="Times New Roman"/>
          <w:sz w:val="24"/>
          <w:szCs w:val="24"/>
        </w:rPr>
        <w:t>11 a 25 e 33</w:t>
      </w:r>
      <w:r w:rsidR="00227869" w:rsidRPr="00FB2908">
        <w:rPr>
          <w:rFonts w:ascii="Times New Roman" w:hAnsi="Times New Roman" w:cs="Times New Roman"/>
          <w:sz w:val="24"/>
          <w:szCs w:val="24"/>
        </w:rPr>
        <w:t>) e acompanhada do recolhimento da taxa</w:t>
      </w:r>
      <w:r w:rsidR="001520B1" w:rsidRPr="00FB2908">
        <w:rPr>
          <w:rFonts w:ascii="Times New Roman" w:hAnsi="Times New Roman" w:cs="Times New Roman"/>
          <w:sz w:val="24"/>
          <w:szCs w:val="24"/>
        </w:rPr>
        <w:t xml:space="preserve"> de serviços estaduais</w:t>
      </w:r>
      <w:r w:rsidR="00227869" w:rsidRPr="00FB2908">
        <w:rPr>
          <w:rFonts w:ascii="Times New Roman" w:hAnsi="Times New Roman" w:cs="Times New Roman"/>
          <w:sz w:val="24"/>
          <w:szCs w:val="24"/>
        </w:rPr>
        <w:t xml:space="preserve"> (</w:t>
      </w:r>
      <w:r w:rsidR="00227869" w:rsidRPr="00FB2908">
        <w:rPr>
          <w:rFonts w:ascii="Times New Roman" w:hAnsi="Times New Roman" w:cs="Times New Roman"/>
          <w:i/>
          <w:sz w:val="24"/>
          <w:szCs w:val="24"/>
        </w:rPr>
        <w:t>fl</w:t>
      </w:r>
      <w:r w:rsidR="00E247A8" w:rsidRPr="00FB2908">
        <w:rPr>
          <w:rFonts w:ascii="Times New Roman" w:hAnsi="Times New Roman" w:cs="Times New Roman"/>
          <w:i/>
          <w:sz w:val="24"/>
          <w:szCs w:val="24"/>
        </w:rPr>
        <w:t>s</w:t>
      </w:r>
      <w:r w:rsidRPr="00FB2908">
        <w:rPr>
          <w:rFonts w:ascii="Times New Roman" w:hAnsi="Times New Roman" w:cs="Times New Roman"/>
          <w:sz w:val="24"/>
          <w:szCs w:val="24"/>
        </w:rPr>
        <w:t xml:space="preserve">. </w:t>
      </w:r>
      <w:r w:rsidR="006C01B3" w:rsidRPr="00FB2908">
        <w:rPr>
          <w:rFonts w:ascii="Times New Roman" w:hAnsi="Times New Roman" w:cs="Times New Roman"/>
          <w:sz w:val="24"/>
          <w:szCs w:val="24"/>
        </w:rPr>
        <w:t>09 e 10</w:t>
      </w:r>
      <w:r w:rsidRPr="00FB2908">
        <w:rPr>
          <w:rFonts w:ascii="Times New Roman" w:hAnsi="Times New Roman" w:cs="Times New Roman"/>
          <w:sz w:val="24"/>
          <w:szCs w:val="24"/>
        </w:rPr>
        <w:t xml:space="preserve">). </w:t>
      </w:r>
      <w:r w:rsidR="00301AFD" w:rsidRPr="00FB2908">
        <w:rPr>
          <w:rFonts w:ascii="Times New Roman" w:hAnsi="Times New Roman" w:cs="Times New Roman"/>
          <w:sz w:val="24"/>
          <w:szCs w:val="24"/>
        </w:rPr>
        <w:t>A dúvida da consulente v</w:t>
      </w:r>
      <w:r w:rsidR="00C51F33" w:rsidRPr="00FB2908">
        <w:rPr>
          <w:rFonts w:ascii="Times New Roman" w:hAnsi="Times New Roman" w:cs="Times New Roman"/>
          <w:sz w:val="24"/>
          <w:szCs w:val="24"/>
        </w:rPr>
        <w:t xml:space="preserve">ersa sobre questões relacionadas à atividade de depósito de </w:t>
      </w:r>
      <w:r w:rsidR="00E301FB">
        <w:rPr>
          <w:rFonts w:ascii="Times New Roman" w:hAnsi="Times New Roman" w:cs="Times New Roman"/>
          <w:sz w:val="24"/>
          <w:szCs w:val="24"/>
        </w:rPr>
        <w:t xml:space="preserve">mercadorias de </w:t>
      </w:r>
      <w:r w:rsidR="00C51F33" w:rsidRPr="00FB2908">
        <w:rPr>
          <w:rFonts w:ascii="Times New Roman" w:hAnsi="Times New Roman" w:cs="Times New Roman"/>
          <w:sz w:val="24"/>
          <w:szCs w:val="24"/>
        </w:rPr>
        <w:t>terceiros</w:t>
      </w:r>
      <w:r w:rsidR="00301AFD" w:rsidRPr="00FB2908">
        <w:rPr>
          <w:rFonts w:ascii="Times New Roman" w:hAnsi="Times New Roman" w:cs="Times New Roman"/>
          <w:i/>
          <w:sz w:val="24"/>
          <w:szCs w:val="24"/>
        </w:rPr>
        <w:t>.</w:t>
      </w:r>
    </w:p>
    <w:p w:rsidR="00E301FB" w:rsidRPr="00130C6A" w:rsidRDefault="00E301FB" w:rsidP="00E301FB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C6A">
        <w:rPr>
          <w:rFonts w:ascii="Times New Roman" w:hAnsi="Times New Roman" w:cs="Times New Roman"/>
          <w:sz w:val="24"/>
        </w:rPr>
        <w:t>A análise preliminar à petição, bem como ao cumprimento das formalidades determinadas pela legislação, especialmente o disposto no Decreto-lei n.º 05/75, Decreto 2.473/79 (PAT) e Resolução n.º 109/76, apontou a ausência das informações de que trata o artigo 3º da Resolução supracitada, relativamente à consulente</w:t>
      </w:r>
      <w:r w:rsidR="00FB39F5">
        <w:rPr>
          <w:rFonts w:ascii="Times New Roman" w:hAnsi="Times New Roman" w:cs="Times New Roman"/>
          <w:sz w:val="24"/>
        </w:rPr>
        <w:t xml:space="preserve"> (</w:t>
      </w:r>
      <w:r w:rsidR="00FB39F5" w:rsidRPr="00FB39F5">
        <w:rPr>
          <w:rFonts w:ascii="Times New Roman" w:hAnsi="Times New Roman" w:cs="Times New Roman"/>
          <w:i/>
          <w:sz w:val="24"/>
        </w:rPr>
        <w:t>fls</w:t>
      </w:r>
      <w:r w:rsidR="00FB39F5">
        <w:rPr>
          <w:rFonts w:ascii="Times New Roman" w:hAnsi="Times New Roman" w:cs="Times New Roman"/>
          <w:sz w:val="24"/>
        </w:rPr>
        <w:t>. 30 e 31)</w:t>
      </w:r>
      <w:r w:rsidRPr="00130C6A">
        <w:rPr>
          <w:rFonts w:ascii="Times New Roman" w:hAnsi="Times New Roman" w:cs="Times New Roman"/>
          <w:sz w:val="24"/>
        </w:rPr>
        <w:t xml:space="preserve">. </w:t>
      </w:r>
    </w:p>
    <w:p w:rsidR="00E301FB" w:rsidRPr="00FB2908" w:rsidRDefault="00E301FB" w:rsidP="00E301FB">
      <w:pPr>
        <w:pStyle w:val="Corpodetexto"/>
        <w:spacing w:line="360" w:lineRule="auto"/>
        <w:ind w:firstLine="708"/>
        <w:jc w:val="both"/>
        <w:rPr>
          <w:sz w:val="24"/>
        </w:rPr>
      </w:pPr>
      <w:r w:rsidRPr="00FB2908">
        <w:rPr>
          <w:sz w:val="24"/>
        </w:rPr>
        <w:t>Por este motivo, sugeriu-se o envio dos autos à Auditoria-Fiscal respectiva a fim de que fosse observado o disposto no artigo 3º da Resolução n.º 109/76.</w:t>
      </w:r>
      <w:r>
        <w:rPr>
          <w:sz w:val="24"/>
        </w:rPr>
        <w:t xml:space="preserve"> </w:t>
      </w:r>
      <w:r w:rsidRPr="00FB2908">
        <w:rPr>
          <w:sz w:val="24"/>
        </w:rPr>
        <w:t xml:space="preserve">A </w:t>
      </w:r>
      <w:r>
        <w:rPr>
          <w:sz w:val="24"/>
        </w:rPr>
        <w:t>AFR 64.12</w:t>
      </w:r>
      <w:r w:rsidRPr="00FB2908">
        <w:rPr>
          <w:sz w:val="24"/>
        </w:rPr>
        <w:t xml:space="preserve"> informou que </w:t>
      </w:r>
      <w:r>
        <w:rPr>
          <w:sz w:val="24"/>
        </w:rPr>
        <w:t xml:space="preserve">(1) </w:t>
      </w:r>
      <w:r w:rsidRPr="00FB2908">
        <w:rPr>
          <w:i/>
          <w:sz w:val="24"/>
        </w:rPr>
        <w:t>“a petição está assinada por pessoa habilitada”</w:t>
      </w:r>
      <w:r>
        <w:rPr>
          <w:sz w:val="24"/>
        </w:rPr>
        <w:t xml:space="preserve">; (2) </w:t>
      </w:r>
      <w:r w:rsidRPr="00FB2908">
        <w:rPr>
          <w:i/>
          <w:sz w:val="24"/>
        </w:rPr>
        <w:t>“o contribuinte não se encontra em ação fiscal e última fiscalização foi encerrada em 02/02/2016”</w:t>
      </w:r>
      <w:r>
        <w:rPr>
          <w:sz w:val="24"/>
        </w:rPr>
        <w:t xml:space="preserve">; (3) </w:t>
      </w:r>
      <w:r w:rsidRPr="00FB2908">
        <w:rPr>
          <w:i/>
          <w:sz w:val="24"/>
        </w:rPr>
        <w:t>“não existe auto de infração que tenha relação com o assunto tratado nesta petição”</w:t>
      </w:r>
      <w:r>
        <w:rPr>
          <w:sz w:val="24"/>
        </w:rPr>
        <w:t xml:space="preserve"> (</w:t>
      </w:r>
      <w:r w:rsidRPr="00FB2908">
        <w:rPr>
          <w:i/>
          <w:sz w:val="24"/>
        </w:rPr>
        <w:t>fl</w:t>
      </w:r>
      <w:r>
        <w:rPr>
          <w:sz w:val="24"/>
        </w:rPr>
        <w:t>. 34).</w:t>
      </w:r>
    </w:p>
    <w:p w:rsidR="00FB2908" w:rsidRDefault="00590FA5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consulente informa que </w:t>
      </w:r>
      <w:r w:rsidRPr="00590FA5">
        <w:rPr>
          <w:rFonts w:ascii="Times New Roman" w:hAnsi="Times New Roman" w:cs="Times New Roman"/>
          <w:i/>
          <w:sz w:val="24"/>
          <w:szCs w:val="24"/>
        </w:rPr>
        <w:t xml:space="preserve">“pretende realizar operação logística com um </w:t>
      </w:r>
      <w:r w:rsidR="0021703D">
        <w:rPr>
          <w:rFonts w:ascii="Times New Roman" w:hAnsi="Times New Roman" w:cs="Times New Roman"/>
          <w:i/>
          <w:sz w:val="24"/>
          <w:szCs w:val="24"/>
        </w:rPr>
        <w:t>d</w:t>
      </w:r>
      <w:r w:rsidRPr="00590FA5">
        <w:rPr>
          <w:rFonts w:ascii="Times New Roman" w:hAnsi="Times New Roman" w:cs="Times New Roman"/>
          <w:i/>
          <w:sz w:val="24"/>
          <w:szCs w:val="24"/>
        </w:rPr>
        <w:t>e seus clientes”</w:t>
      </w:r>
      <w:r>
        <w:rPr>
          <w:rFonts w:ascii="Times New Roman" w:hAnsi="Times New Roman" w:cs="Times New Roman"/>
          <w:sz w:val="24"/>
          <w:szCs w:val="24"/>
        </w:rPr>
        <w:t>. Receberia produtos de determinado Estado e, após a formação de lote, o mesmo seria transportado até cliente final localizado em outro Estado (</w:t>
      </w:r>
      <w:r w:rsidRPr="00590FA5">
        <w:rPr>
          <w:rFonts w:ascii="Times New Roman" w:hAnsi="Times New Roman" w:cs="Times New Roman"/>
          <w:i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7D46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0FA5" w:rsidRDefault="00D10D72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consulente </w:t>
      </w:r>
      <w:r w:rsidRPr="00D10D72">
        <w:rPr>
          <w:rFonts w:ascii="Times New Roman" w:hAnsi="Times New Roman" w:cs="Times New Roman"/>
          <w:i/>
          <w:sz w:val="24"/>
          <w:szCs w:val="24"/>
        </w:rPr>
        <w:t>“participaria apenas como local de armazenagem de mercadoria de terceiro, recebendo a mercadoria e efetuando posterior remessa do lote”</w:t>
      </w:r>
      <w:r w:rsidR="003F7FC8">
        <w:rPr>
          <w:rFonts w:ascii="Times New Roman" w:hAnsi="Times New Roman" w:cs="Times New Roman"/>
          <w:sz w:val="24"/>
          <w:szCs w:val="24"/>
        </w:rPr>
        <w:t>, em que pese não revestir a qualidade de armazém-geral (por não possuir os requisitos previstos no Decreto nº 1.102/1903) ou depósito fechado</w:t>
      </w:r>
      <w:r w:rsidR="007D4649">
        <w:rPr>
          <w:rFonts w:ascii="Times New Roman" w:hAnsi="Times New Roman" w:cs="Times New Roman"/>
          <w:sz w:val="24"/>
          <w:szCs w:val="24"/>
        </w:rPr>
        <w:t xml:space="preserve"> (</w:t>
      </w:r>
      <w:r w:rsidR="007D4649" w:rsidRPr="007D4649">
        <w:rPr>
          <w:rFonts w:ascii="Times New Roman" w:hAnsi="Times New Roman" w:cs="Times New Roman"/>
          <w:i/>
          <w:sz w:val="24"/>
          <w:szCs w:val="24"/>
        </w:rPr>
        <w:t>fl</w:t>
      </w:r>
      <w:r w:rsidR="007D4649">
        <w:rPr>
          <w:rFonts w:ascii="Times New Roman" w:hAnsi="Times New Roman" w:cs="Times New Roman"/>
          <w:sz w:val="24"/>
          <w:szCs w:val="24"/>
        </w:rPr>
        <w:t>. 06)</w:t>
      </w:r>
      <w:r w:rsidR="003F7FC8">
        <w:rPr>
          <w:rFonts w:ascii="Times New Roman" w:hAnsi="Times New Roman" w:cs="Times New Roman"/>
          <w:sz w:val="24"/>
          <w:szCs w:val="24"/>
        </w:rPr>
        <w:t>.</w:t>
      </w:r>
    </w:p>
    <w:p w:rsidR="00791C52" w:rsidRDefault="00791C52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 que se trata de operação atípica e </w:t>
      </w:r>
      <w:r w:rsidRPr="00791C52">
        <w:rPr>
          <w:rFonts w:ascii="Times New Roman" w:hAnsi="Times New Roman" w:cs="Times New Roman"/>
          <w:i/>
          <w:sz w:val="24"/>
          <w:szCs w:val="24"/>
        </w:rPr>
        <w:t xml:space="preserve">“pretende a consulente efetuar a operação de forma a permitir o recebimento e armazenamento das mercadorias do Cliente </w:t>
      </w:r>
      <w:r w:rsidRPr="00791C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(vendedor), que ao serem remetidas para o Cliente (comprador), deverão retornar simbolicamente ao Cliente (vendedor) e ser diretamente remetidos ao Cliente (comprador). Dada a atipicidade das operações, pretende a Consulente utilizar-se de </w:t>
      </w:r>
      <w:proofErr w:type="spellStart"/>
      <w:r w:rsidRPr="00791C52">
        <w:rPr>
          <w:rFonts w:ascii="Times New Roman" w:hAnsi="Times New Roman" w:cs="Times New Roman"/>
          <w:i/>
          <w:sz w:val="24"/>
          <w:szCs w:val="24"/>
        </w:rPr>
        <w:t>CFOPs</w:t>
      </w:r>
      <w:proofErr w:type="spellEnd"/>
      <w:r w:rsidRPr="00791C52">
        <w:rPr>
          <w:rFonts w:ascii="Times New Roman" w:hAnsi="Times New Roman" w:cs="Times New Roman"/>
          <w:i/>
          <w:sz w:val="24"/>
          <w:szCs w:val="24"/>
        </w:rPr>
        <w:t xml:space="preserve"> não especificados, com o devido destaque e recolhimento do ICMS, de forma a inexistir qualquer prejuízo ao Erário</w:t>
      </w:r>
      <w:proofErr w:type="gramStart"/>
      <w:r w:rsidRPr="00791C52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B77" w:rsidRDefault="00FE2436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 a consulente adotar as seguintes etapas:</w:t>
      </w:r>
    </w:p>
    <w:p w:rsidR="00FE2436" w:rsidRPr="00DB1064" w:rsidRDefault="00FE2436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064">
        <w:rPr>
          <w:rFonts w:ascii="Times New Roman" w:hAnsi="Times New Roman" w:cs="Times New Roman"/>
          <w:i/>
          <w:sz w:val="24"/>
          <w:szCs w:val="24"/>
        </w:rPr>
        <w:t xml:space="preserve">“(i) Remessa de mercadorias do Cliente (vendedor) para a Consulente com a emissão de Nota Fiscal indicando o CFOP 6.949 (outra saída de mercadoria ou prestação de serviço não especificado), </w:t>
      </w:r>
      <w:r w:rsidRPr="00DB1064">
        <w:rPr>
          <w:rFonts w:ascii="Times New Roman" w:hAnsi="Times New Roman" w:cs="Times New Roman"/>
          <w:b/>
          <w:i/>
          <w:sz w:val="24"/>
          <w:szCs w:val="24"/>
          <w:u w:val="single"/>
        </w:rPr>
        <w:t>com</w:t>
      </w:r>
      <w:r w:rsidRPr="00DB1064">
        <w:rPr>
          <w:rFonts w:ascii="Times New Roman" w:hAnsi="Times New Roman" w:cs="Times New Roman"/>
          <w:i/>
          <w:sz w:val="24"/>
          <w:szCs w:val="24"/>
        </w:rPr>
        <w:t xml:space="preserve"> o regular destaque do ICMS à alíquota de 12% na Nota Fiscal;</w:t>
      </w:r>
    </w:p>
    <w:p w:rsidR="00FE2436" w:rsidRPr="00DB1064" w:rsidRDefault="00FE2436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DB10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1064">
        <w:rPr>
          <w:rFonts w:ascii="Times New Roman" w:hAnsi="Times New Roman" w:cs="Times New Roman"/>
          <w:i/>
          <w:sz w:val="24"/>
          <w:szCs w:val="24"/>
        </w:rPr>
        <w:t>ii</w:t>
      </w:r>
      <w:proofErr w:type="spellEnd"/>
      <w:r w:rsidRPr="00DB1064">
        <w:rPr>
          <w:rFonts w:ascii="Times New Roman" w:hAnsi="Times New Roman" w:cs="Times New Roman"/>
          <w:i/>
          <w:sz w:val="24"/>
          <w:szCs w:val="24"/>
        </w:rPr>
        <w:t xml:space="preserve">) Remessa do lote pela Consulente para o Cliente (comprador), mediante emissão de dois documentos fiscais pela Consulente: (a) um equivalente ao retorno simbólico ao Cliente (vendedor), também com o CFOP 6.949, </w:t>
      </w:r>
      <w:r w:rsidRPr="00DB1064">
        <w:rPr>
          <w:rFonts w:ascii="Times New Roman" w:hAnsi="Times New Roman" w:cs="Times New Roman"/>
          <w:b/>
          <w:i/>
          <w:sz w:val="24"/>
          <w:szCs w:val="24"/>
          <w:u w:val="single"/>
        </w:rPr>
        <w:t>com</w:t>
      </w:r>
      <w:r w:rsidRPr="00DB1064">
        <w:rPr>
          <w:rFonts w:ascii="Times New Roman" w:hAnsi="Times New Roman" w:cs="Times New Roman"/>
          <w:i/>
          <w:sz w:val="24"/>
          <w:szCs w:val="24"/>
        </w:rPr>
        <w:t xml:space="preserve"> destaque do ICMS (o ICMS da entrada anterior seria abatido como crédito); e (b) um para respaldar o transporte da mercadoria até o Cliente (comprador), </w:t>
      </w:r>
      <w:r w:rsidRPr="00DB1064">
        <w:rPr>
          <w:rFonts w:ascii="Times New Roman" w:hAnsi="Times New Roman" w:cs="Times New Roman"/>
          <w:b/>
          <w:i/>
          <w:sz w:val="24"/>
          <w:szCs w:val="24"/>
          <w:u w:val="single"/>
        </w:rPr>
        <w:t>sem</w:t>
      </w:r>
      <w:r w:rsidRPr="00DB1064">
        <w:rPr>
          <w:rFonts w:ascii="Times New Roman" w:hAnsi="Times New Roman" w:cs="Times New Roman"/>
          <w:i/>
          <w:sz w:val="24"/>
          <w:szCs w:val="24"/>
        </w:rPr>
        <w:t xml:space="preserve"> destaque do ICMS e CFOP 6.949;</w:t>
      </w:r>
    </w:p>
    <w:p w:rsidR="00FE2436" w:rsidRPr="00DB1064" w:rsidRDefault="00FE2436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0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1064">
        <w:rPr>
          <w:rFonts w:ascii="Times New Roman" w:hAnsi="Times New Roman" w:cs="Times New Roman"/>
          <w:i/>
          <w:sz w:val="24"/>
          <w:szCs w:val="24"/>
        </w:rPr>
        <w:t>iii</w:t>
      </w:r>
      <w:proofErr w:type="spellEnd"/>
      <w:r w:rsidRPr="00DB1064">
        <w:rPr>
          <w:rFonts w:ascii="Times New Roman" w:hAnsi="Times New Roman" w:cs="Times New Roman"/>
          <w:i/>
          <w:sz w:val="24"/>
          <w:szCs w:val="24"/>
        </w:rPr>
        <w:t xml:space="preserve">) Venda ou Transferência do Cliente (vendedor) para o Cliente (comprador), formalizadas mediante a Nota Fiscal adequada (a ser emitida no Estado </w:t>
      </w:r>
      <w:r w:rsidR="00BD7D20" w:rsidRPr="00DB1064">
        <w:rPr>
          <w:rFonts w:ascii="Times New Roman" w:hAnsi="Times New Roman" w:cs="Times New Roman"/>
          <w:i/>
          <w:sz w:val="24"/>
          <w:szCs w:val="24"/>
        </w:rPr>
        <w:t>do vendedor), nota esta que fará referência ao fato de que as mercadorias estão sendo enviadas ao Estado do comprador)</w:t>
      </w:r>
      <w:proofErr w:type="gramEnd"/>
      <w:r w:rsidR="00DB1064" w:rsidRPr="00DB1064">
        <w:rPr>
          <w:rFonts w:ascii="Times New Roman" w:hAnsi="Times New Roman" w:cs="Times New Roman"/>
          <w:i/>
          <w:sz w:val="24"/>
          <w:szCs w:val="24"/>
        </w:rPr>
        <w:t xml:space="preserve">, desde outro estabelecimento localizado no RJ (no caso, o da Consulente). </w:t>
      </w:r>
      <w:proofErr w:type="gramStart"/>
      <w:r w:rsidR="00DB1064" w:rsidRPr="00DB1064">
        <w:rPr>
          <w:rFonts w:ascii="Times New Roman" w:hAnsi="Times New Roman" w:cs="Times New Roman"/>
          <w:i/>
          <w:sz w:val="24"/>
          <w:szCs w:val="24"/>
        </w:rPr>
        <w:t xml:space="preserve">Esta operação seria realizada </w:t>
      </w:r>
      <w:r w:rsidR="00DB1064" w:rsidRPr="00DB1064">
        <w:rPr>
          <w:rFonts w:ascii="Times New Roman" w:hAnsi="Times New Roman" w:cs="Times New Roman"/>
          <w:b/>
          <w:i/>
          <w:sz w:val="24"/>
          <w:szCs w:val="24"/>
          <w:u w:val="single"/>
        </w:rPr>
        <w:t>com</w:t>
      </w:r>
      <w:r w:rsidR="00DB1064" w:rsidRPr="00DB1064">
        <w:rPr>
          <w:rFonts w:ascii="Times New Roman" w:hAnsi="Times New Roman" w:cs="Times New Roman"/>
          <w:i/>
          <w:sz w:val="24"/>
          <w:szCs w:val="24"/>
        </w:rPr>
        <w:t xml:space="preserve"> destaque do ICMS (Grifos presentes no original).”</w:t>
      </w:r>
      <w:proofErr w:type="gramEnd"/>
      <w:r w:rsidR="00DB1064" w:rsidRPr="00DB1064">
        <w:rPr>
          <w:rFonts w:ascii="Times New Roman" w:hAnsi="Times New Roman" w:cs="Times New Roman"/>
          <w:i/>
          <w:sz w:val="24"/>
          <w:szCs w:val="24"/>
        </w:rPr>
        <w:t>.</w:t>
      </w:r>
    </w:p>
    <w:p w:rsidR="00DF347F" w:rsidRDefault="00F94619" w:rsidP="00130C6A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347F">
        <w:rPr>
          <w:rFonts w:ascii="Times New Roman" w:hAnsi="Times New Roman" w:cs="Times New Roman"/>
          <w:i/>
          <w:sz w:val="24"/>
          <w:szCs w:val="24"/>
        </w:rPr>
        <w:t>“dúvida da consulente</w:t>
      </w:r>
      <w:r w:rsidR="00130C6A" w:rsidRPr="00DF347F">
        <w:rPr>
          <w:rFonts w:ascii="Times New Roman" w:hAnsi="Times New Roman" w:cs="Times New Roman"/>
          <w:i/>
          <w:sz w:val="24"/>
          <w:szCs w:val="24"/>
        </w:rPr>
        <w:t>, portanto, reside na possibilidade de emitir as notas referidas acima no item</w:t>
      </w:r>
      <w:r w:rsidR="00DF347F" w:rsidRPr="00DF347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F347F" w:rsidRPr="00DF347F">
        <w:rPr>
          <w:rFonts w:ascii="Times New Roman" w:hAnsi="Times New Roman" w:cs="Times New Roman"/>
          <w:i/>
          <w:sz w:val="24"/>
          <w:szCs w:val="24"/>
        </w:rPr>
        <w:t>ii</w:t>
      </w:r>
      <w:proofErr w:type="spellEnd"/>
      <w:r w:rsidR="00DF347F" w:rsidRPr="00DF347F">
        <w:rPr>
          <w:rFonts w:ascii="Times New Roman" w:hAnsi="Times New Roman" w:cs="Times New Roman"/>
          <w:i/>
          <w:sz w:val="24"/>
          <w:szCs w:val="24"/>
        </w:rPr>
        <w:t>), sendo uma com destaque do ICMS e outra sem, sendo que a devolução das mercadorias para o Cliente (vendedor) seria realizada de maneira apenas simbólica. Entende inexistir qualquer prejuízo ao Fisco fluminense, para o qual a operação seria totalmente neutra do ponto de vista fiscal”</w:t>
      </w:r>
      <w:r w:rsidR="00DF347F">
        <w:rPr>
          <w:rFonts w:ascii="Times New Roman" w:hAnsi="Times New Roman" w:cs="Times New Roman"/>
          <w:sz w:val="24"/>
          <w:szCs w:val="24"/>
        </w:rPr>
        <w:t xml:space="preserve"> (</w:t>
      </w:r>
      <w:r w:rsidR="00DF347F" w:rsidRPr="00DF347F">
        <w:rPr>
          <w:rFonts w:ascii="Times New Roman" w:hAnsi="Times New Roman" w:cs="Times New Roman"/>
          <w:i/>
          <w:sz w:val="24"/>
          <w:szCs w:val="24"/>
        </w:rPr>
        <w:t>fl</w:t>
      </w:r>
      <w:r w:rsidR="00DF347F">
        <w:rPr>
          <w:rFonts w:ascii="Times New Roman" w:hAnsi="Times New Roman" w:cs="Times New Roman"/>
          <w:sz w:val="24"/>
          <w:szCs w:val="24"/>
        </w:rPr>
        <w:t>. 7).</w:t>
      </w:r>
    </w:p>
    <w:p w:rsidR="00E301FB" w:rsidRDefault="00DF347F" w:rsidP="00130C6A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efetua </w:t>
      </w:r>
      <w:r w:rsidR="00E301FB">
        <w:rPr>
          <w:rFonts w:ascii="Times New Roman" w:hAnsi="Times New Roman" w:cs="Times New Roman"/>
          <w:sz w:val="24"/>
          <w:szCs w:val="24"/>
        </w:rPr>
        <w:t xml:space="preserve">dois </w:t>
      </w:r>
      <w:r>
        <w:rPr>
          <w:rFonts w:ascii="Times New Roman" w:hAnsi="Times New Roman" w:cs="Times New Roman"/>
          <w:sz w:val="24"/>
          <w:szCs w:val="24"/>
        </w:rPr>
        <w:t>questionamentos</w:t>
      </w:r>
      <w:r w:rsidR="00E301FB">
        <w:rPr>
          <w:rFonts w:ascii="Times New Roman" w:hAnsi="Times New Roman" w:cs="Times New Roman"/>
          <w:sz w:val="24"/>
          <w:szCs w:val="24"/>
        </w:rPr>
        <w:t>, reproduzidos e respondidos na sequência.</w:t>
      </w:r>
    </w:p>
    <w:p w:rsidR="0052564C" w:rsidRPr="00FB2908" w:rsidRDefault="0052564C" w:rsidP="005256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08">
        <w:rPr>
          <w:rFonts w:ascii="Times New Roman" w:hAnsi="Times New Roman" w:cs="Times New Roman"/>
          <w:b/>
          <w:sz w:val="24"/>
          <w:szCs w:val="24"/>
        </w:rPr>
        <w:t xml:space="preserve">II – ANÁLISE, FUNDAMENTAÇÃO E </w:t>
      </w:r>
      <w:proofErr w:type="gramStart"/>
      <w:r w:rsidRPr="00FB2908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130C6A" w:rsidRPr="00A832C9" w:rsidRDefault="00DF347F" w:rsidP="00DF347F">
      <w:pPr>
        <w:pStyle w:val="PargrafodaLista"/>
        <w:numPr>
          <w:ilvl w:val="0"/>
          <w:numId w:val="23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2C9">
        <w:rPr>
          <w:rFonts w:ascii="Times New Roman" w:hAnsi="Times New Roman" w:cs="Times New Roman"/>
          <w:i/>
          <w:sz w:val="24"/>
          <w:szCs w:val="24"/>
        </w:rPr>
        <w:lastRenderedPageBreak/>
        <w:t>“Está correta a interpretação da Consulente no sentido de inexistir vedação legal à atividade de armazenamento de mercadorias de terceiros, por ser não obrigatório o registro como armazém-geral para executar a atividade de armazenagem?”.</w:t>
      </w:r>
    </w:p>
    <w:p w:rsidR="00DF347F" w:rsidRPr="00A832C9" w:rsidRDefault="00DF347F" w:rsidP="00DF347F">
      <w:pPr>
        <w:pStyle w:val="PargrafodaLista"/>
        <w:numPr>
          <w:ilvl w:val="0"/>
          <w:numId w:val="23"/>
        </w:numPr>
        <w:tabs>
          <w:tab w:val="center" w:pos="4606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2C9">
        <w:rPr>
          <w:rFonts w:ascii="Times New Roman" w:hAnsi="Times New Roman" w:cs="Times New Roman"/>
          <w:i/>
          <w:sz w:val="24"/>
          <w:szCs w:val="24"/>
        </w:rPr>
        <w:t xml:space="preserve">“Está correto o procedimento pretendido pela Consulente, relativamente à emissão dos documentos fiscais e destaque do ICMS, especificamente em relação aos </w:t>
      </w:r>
      <w:proofErr w:type="spellStart"/>
      <w:r w:rsidRPr="00A832C9">
        <w:rPr>
          <w:rFonts w:ascii="Times New Roman" w:hAnsi="Times New Roman" w:cs="Times New Roman"/>
          <w:i/>
          <w:sz w:val="24"/>
          <w:szCs w:val="24"/>
        </w:rPr>
        <w:t>CFOPs</w:t>
      </w:r>
      <w:proofErr w:type="spellEnd"/>
      <w:r w:rsidRPr="00A832C9">
        <w:rPr>
          <w:rFonts w:ascii="Times New Roman" w:hAnsi="Times New Roman" w:cs="Times New Roman"/>
          <w:i/>
          <w:sz w:val="24"/>
          <w:szCs w:val="24"/>
        </w:rPr>
        <w:t xml:space="preserve"> e destaques do imposto indicados, mesmo não sendo a Consulente registrada como Armazém geral?”.</w:t>
      </w:r>
    </w:p>
    <w:p w:rsidR="00E92604" w:rsidRPr="00E92604" w:rsidRDefault="00E92604" w:rsidP="00E92604">
      <w:pPr>
        <w:pStyle w:val="Corpodetexto"/>
        <w:spacing w:line="360" w:lineRule="auto"/>
        <w:ind w:firstLine="708"/>
        <w:jc w:val="both"/>
        <w:rPr>
          <w:sz w:val="24"/>
        </w:rPr>
      </w:pPr>
      <w:r w:rsidRPr="00E92604">
        <w:rPr>
          <w:sz w:val="24"/>
        </w:rPr>
        <w:t>Não cabe a esta Coordenadoria se manifestar</w:t>
      </w:r>
      <w:r>
        <w:rPr>
          <w:sz w:val="24"/>
        </w:rPr>
        <w:t xml:space="preserve"> </w:t>
      </w:r>
      <w:r w:rsidRPr="00E92604">
        <w:rPr>
          <w:sz w:val="24"/>
        </w:rPr>
        <w:t xml:space="preserve">sobre </w:t>
      </w:r>
      <w:r>
        <w:rPr>
          <w:sz w:val="24"/>
        </w:rPr>
        <w:t>caso concreto relativo à</w:t>
      </w:r>
      <w:r w:rsidRPr="00E92604">
        <w:rPr>
          <w:sz w:val="24"/>
        </w:rPr>
        <w:t xml:space="preserve"> possibilidade de a consulente desempenhar ou não determinadas atividades</w:t>
      </w:r>
      <w:r>
        <w:rPr>
          <w:sz w:val="24"/>
        </w:rPr>
        <w:t>, por falta de competência e ausência de dúvida sobre a interpretação da legislação tributária estadual</w:t>
      </w:r>
      <w:r w:rsidRPr="00E92604">
        <w:rPr>
          <w:sz w:val="24"/>
        </w:rPr>
        <w:t>.</w:t>
      </w:r>
    </w:p>
    <w:p w:rsidR="00E92604" w:rsidRDefault="00E92604" w:rsidP="00E92604">
      <w:pPr>
        <w:pStyle w:val="Corpodetexto"/>
        <w:spacing w:line="360" w:lineRule="auto"/>
        <w:ind w:firstLine="708"/>
        <w:jc w:val="both"/>
        <w:rPr>
          <w:sz w:val="24"/>
        </w:rPr>
      </w:pPr>
      <w:r w:rsidRPr="00E92604">
        <w:rPr>
          <w:sz w:val="24"/>
        </w:rPr>
        <w:t>Registre-se que, se o estabelecimento não for um armazém geral, caracterizado como tal nos termos do Decreto nº 1.102/1903, ou depósito fechado, de acordo com o art. 1º, Capítulo I, Anexo XIII, Parte II da Resolução nº 720/14, não poderão ser aplicados os procedimentos específicos previstos nos Capítulos I e II da referida Parte.</w:t>
      </w:r>
    </w:p>
    <w:p w:rsidR="00380469" w:rsidRPr="00380469" w:rsidRDefault="00380469" w:rsidP="00380469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</w:t>
      </w:r>
      <w:r w:rsidRPr="00380469">
        <w:rPr>
          <w:sz w:val="24"/>
        </w:rPr>
        <w:t xml:space="preserve"> legislação tributária </w:t>
      </w:r>
      <w:r>
        <w:rPr>
          <w:sz w:val="24"/>
        </w:rPr>
        <w:t xml:space="preserve">fluminense não há norma </w:t>
      </w:r>
      <w:r w:rsidRPr="00380469">
        <w:rPr>
          <w:sz w:val="24"/>
        </w:rPr>
        <w:t xml:space="preserve">específica disciplinando as obrigações - principal e acessória - relativas à atividade de depósito de mercadoria de terceiro, pois a </w:t>
      </w:r>
      <w:r>
        <w:rPr>
          <w:sz w:val="24"/>
        </w:rPr>
        <w:t xml:space="preserve">referida </w:t>
      </w:r>
      <w:r w:rsidRPr="00380469">
        <w:rPr>
          <w:sz w:val="24"/>
        </w:rPr>
        <w:t>legislação regula de forma expressa exclusivamente as operações pertinentes a depósito fechado e armazém geral.</w:t>
      </w:r>
    </w:p>
    <w:p w:rsidR="00643F1C" w:rsidRPr="00380469" w:rsidRDefault="00FA263E" w:rsidP="00643F1C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No caso</w:t>
      </w:r>
      <w:r w:rsidR="00643F1C">
        <w:rPr>
          <w:sz w:val="24"/>
        </w:rPr>
        <w:t xml:space="preserve"> de operações destinadas a </w:t>
      </w:r>
      <w:r w:rsidR="00643F1C" w:rsidRPr="00380469">
        <w:rPr>
          <w:sz w:val="24"/>
        </w:rPr>
        <w:t xml:space="preserve">depósito em estabelecimento de terceiro (que não </w:t>
      </w:r>
      <w:r w:rsidR="00643F1C">
        <w:rPr>
          <w:sz w:val="24"/>
        </w:rPr>
        <w:t xml:space="preserve">seja </w:t>
      </w:r>
      <w:r w:rsidR="00643F1C" w:rsidRPr="00380469">
        <w:rPr>
          <w:sz w:val="24"/>
        </w:rPr>
        <w:t>armazém geral)</w:t>
      </w:r>
      <w:r w:rsidR="00643F1C">
        <w:rPr>
          <w:sz w:val="24"/>
        </w:rPr>
        <w:t>, é entendimento desta Coordenadoria que tanto a</w:t>
      </w:r>
      <w:r>
        <w:rPr>
          <w:sz w:val="24"/>
        </w:rPr>
        <w:t>s</w:t>
      </w:r>
      <w:r w:rsidR="00643F1C">
        <w:rPr>
          <w:sz w:val="24"/>
        </w:rPr>
        <w:t xml:space="preserve"> remessa</w:t>
      </w:r>
      <w:r>
        <w:rPr>
          <w:sz w:val="24"/>
        </w:rPr>
        <w:t>s</w:t>
      </w:r>
      <w:r w:rsidR="00643F1C">
        <w:rPr>
          <w:sz w:val="24"/>
        </w:rPr>
        <w:t xml:space="preserve"> </w:t>
      </w:r>
      <w:r w:rsidR="00643F1C" w:rsidRPr="00380469">
        <w:rPr>
          <w:sz w:val="24"/>
        </w:rPr>
        <w:t xml:space="preserve">para </w:t>
      </w:r>
      <w:r w:rsidR="00643F1C">
        <w:rPr>
          <w:sz w:val="24"/>
        </w:rPr>
        <w:t xml:space="preserve">o </w:t>
      </w:r>
      <w:r w:rsidR="00643F1C" w:rsidRPr="00380469">
        <w:rPr>
          <w:sz w:val="24"/>
        </w:rPr>
        <w:t>depósito</w:t>
      </w:r>
      <w:r w:rsidR="00643F1C">
        <w:rPr>
          <w:sz w:val="24"/>
        </w:rPr>
        <w:t xml:space="preserve">, como </w:t>
      </w:r>
      <w:r w:rsidR="00643F1C" w:rsidRPr="00380469">
        <w:rPr>
          <w:sz w:val="24"/>
        </w:rPr>
        <w:t xml:space="preserve">as saídas das mercadorias nele </w:t>
      </w:r>
      <w:proofErr w:type="gramStart"/>
      <w:r w:rsidR="00643F1C" w:rsidRPr="00380469">
        <w:rPr>
          <w:sz w:val="24"/>
        </w:rPr>
        <w:t>depositadas,</w:t>
      </w:r>
      <w:proofErr w:type="gramEnd"/>
      <w:r w:rsidR="00643F1C" w:rsidRPr="00380469">
        <w:rPr>
          <w:sz w:val="24"/>
        </w:rPr>
        <w:t xml:space="preserve"> em retorno ao estabelecimento depositante ou com destino a outro estabelecimento, ocorrem com a </w:t>
      </w:r>
      <w:r w:rsidR="00643F1C">
        <w:rPr>
          <w:sz w:val="24"/>
        </w:rPr>
        <w:t>incidência</w:t>
      </w:r>
      <w:r w:rsidR="00643F1C" w:rsidRPr="00380469">
        <w:rPr>
          <w:sz w:val="24"/>
        </w:rPr>
        <w:t xml:space="preserve"> do ICMS</w:t>
      </w:r>
      <w:r w:rsidR="00E653A1">
        <w:rPr>
          <w:sz w:val="24"/>
        </w:rPr>
        <w:t xml:space="preserve">, inclusive, conforme o caso, </w:t>
      </w:r>
      <w:r w:rsidR="0013747D">
        <w:rPr>
          <w:sz w:val="24"/>
        </w:rPr>
        <w:t>d</w:t>
      </w:r>
      <w:r w:rsidR="00E653A1">
        <w:rPr>
          <w:sz w:val="24"/>
        </w:rPr>
        <w:t>o ICMS-ST</w:t>
      </w:r>
      <w:r w:rsidR="00643F1C" w:rsidRPr="00380469">
        <w:rPr>
          <w:sz w:val="24"/>
        </w:rPr>
        <w:t xml:space="preserve">, nos termos </w:t>
      </w:r>
      <w:r w:rsidR="00643F1C">
        <w:rPr>
          <w:sz w:val="24"/>
        </w:rPr>
        <w:t>dos artigos 1º, 2º, I, e 3º, I</w:t>
      </w:r>
      <w:r w:rsidR="00BA55DB">
        <w:rPr>
          <w:sz w:val="24"/>
        </w:rPr>
        <w:t>, e 18, III,</w:t>
      </w:r>
      <w:r w:rsidR="00643F1C">
        <w:rPr>
          <w:sz w:val="24"/>
        </w:rPr>
        <w:t xml:space="preserve"> </w:t>
      </w:r>
      <w:r w:rsidR="00643F1C" w:rsidRPr="00380469">
        <w:rPr>
          <w:sz w:val="24"/>
        </w:rPr>
        <w:t>da Lei n° 2</w:t>
      </w:r>
      <w:r w:rsidR="00643F1C">
        <w:rPr>
          <w:sz w:val="24"/>
        </w:rPr>
        <w:t>.</w:t>
      </w:r>
      <w:r w:rsidR="00643F1C" w:rsidRPr="00380469">
        <w:rPr>
          <w:sz w:val="24"/>
        </w:rPr>
        <w:t>657/96</w:t>
      </w:r>
      <w:r w:rsidR="00643F1C">
        <w:rPr>
          <w:rStyle w:val="Refdenotaderodap"/>
          <w:sz w:val="24"/>
        </w:rPr>
        <w:footnoteReference w:id="2"/>
      </w:r>
      <w:r w:rsidR="00643F1C" w:rsidRPr="00380469">
        <w:rPr>
          <w:sz w:val="24"/>
        </w:rPr>
        <w:t>.</w:t>
      </w:r>
    </w:p>
    <w:p w:rsidR="00380469" w:rsidRDefault="00E92604" w:rsidP="00380469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Em </w:t>
      </w:r>
      <w:r w:rsidR="0027458E">
        <w:rPr>
          <w:sz w:val="24"/>
        </w:rPr>
        <w:t>regra</w:t>
      </w:r>
      <w:r>
        <w:rPr>
          <w:sz w:val="24"/>
        </w:rPr>
        <w:t>,</w:t>
      </w:r>
      <w:r w:rsidR="004E70A9">
        <w:rPr>
          <w:sz w:val="24"/>
        </w:rPr>
        <w:t xml:space="preserve"> portanto,</w:t>
      </w:r>
      <w:r>
        <w:rPr>
          <w:sz w:val="24"/>
        </w:rPr>
        <w:t xml:space="preserve"> </w:t>
      </w:r>
      <w:r w:rsidR="00380469" w:rsidRPr="00380469">
        <w:rPr>
          <w:sz w:val="24"/>
        </w:rPr>
        <w:t xml:space="preserve">não </w:t>
      </w:r>
      <w:r w:rsidR="00EC75BB">
        <w:rPr>
          <w:sz w:val="24"/>
        </w:rPr>
        <w:t>há na legislação tributária fluminense vedação</w:t>
      </w:r>
      <w:r w:rsidR="00380469" w:rsidRPr="00380469">
        <w:rPr>
          <w:sz w:val="24"/>
        </w:rPr>
        <w:t xml:space="preserve"> </w:t>
      </w:r>
      <w:r w:rsidR="005670C1">
        <w:rPr>
          <w:sz w:val="24"/>
        </w:rPr>
        <w:t>à</w:t>
      </w:r>
      <w:r w:rsidR="00380469" w:rsidRPr="00380469">
        <w:rPr>
          <w:sz w:val="24"/>
        </w:rPr>
        <w:t xml:space="preserve"> guarda d</w:t>
      </w:r>
      <w:r w:rsidR="004E70A9">
        <w:rPr>
          <w:sz w:val="24"/>
        </w:rPr>
        <w:t>e</w:t>
      </w:r>
      <w:r w:rsidR="00380469" w:rsidRPr="00380469">
        <w:rPr>
          <w:sz w:val="24"/>
        </w:rPr>
        <w:t xml:space="preserve"> mercadoria em estabelecimento de terceiro não caracterizado com</w:t>
      </w:r>
      <w:r w:rsidR="00702CFA">
        <w:rPr>
          <w:sz w:val="24"/>
        </w:rPr>
        <w:t>o</w:t>
      </w:r>
      <w:r w:rsidR="00380469" w:rsidRPr="00380469">
        <w:rPr>
          <w:sz w:val="24"/>
        </w:rPr>
        <w:t xml:space="preserve"> armazém geral, mas a remessa deve ser tributada, assim como o retorno. </w:t>
      </w:r>
      <w:r w:rsidR="0013747D">
        <w:rPr>
          <w:sz w:val="24"/>
        </w:rPr>
        <w:t>Por fim, observe-se que,</w:t>
      </w:r>
      <w:r w:rsidR="00380469" w:rsidRPr="00380469">
        <w:rPr>
          <w:sz w:val="24"/>
        </w:rPr>
        <w:t xml:space="preserve"> </w:t>
      </w:r>
      <w:r w:rsidR="00CD64F0">
        <w:rPr>
          <w:sz w:val="24"/>
        </w:rPr>
        <w:t xml:space="preserve">na hipótese </w:t>
      </w:r>
      <w:r w:rsidR="00CD64F0">
        <w:rPr>
          <w:sz w:val="24"/>
        </w:rPr>
        <w:lastRenderedPageBreak/>
        <w:t>apresentada</w:t>
      </w:r>
      <w:r w:rsidR="005670C1">
        <w:rPr>
          <w:sz w:val="24"/>
        </w:rPr>
        <w:t xml:space="preserve">, </w:t>
      </w:r>
      <w:r w:rsidR="00380469" w:rsidRPr="00380469">
        <w:rPr>
          <w:sz w:val="24"/>
        </w:rPr>
        <w:t>não há previsão para remessa para terceiro por conta e ordem</w:t>
      </w:r>
      <w:r w:rsidR="006B594F">
        <w:rPr>
          <w:rStyle w:val="Refdenotaderodap"/>
          <w:sz w:val="24"/>
        </w:rPr>
        <w:footnoteReference w:id="3"/>
      </w:r>
      <w:r w:rsidR="00380469" w:rsidRPr="00380469">
        <w:rPr>
          <w:sz w:val="24"/>
        </w:rPr>
        <w:t>.</w:t>
      </w:r>
    </w:p>
    <w:p w:rsidR="00B966CE" w:rsidRDefault="00B966CE" w:rsidP="00B966CE">
      <w:pPr>
        <w:pStyle w:val="Corpodetexto"/>
        <w:spacing w:line="360" w:lineRule="auto"/>
        <w:ind w:firstLine="708"/>
        <w:jc w:val="both"/>
        <w:rPr>
          <w:sz w:val="24"/>
        </w:rPr>
      </w:pPr>
      <w:r w:rsidRPr="00FB2908">
        <w:rPr>
          <w:sz w:val="24"/>
        </w:rPr>
        <w:t xml:space="preserve">Esta consulta não produzirá os efeitos que lhe são próprios caso seja editada norma superveniente que disponha de forma contrária </w:t>
      </w:r>
      <w:proofErr w:type="gramStart"/>
      <w:r w:rsidRPr="00FB2908">
        <w:rPr>
          <w:sz w:val="24"/>
        </w:rPr>
        <w:t>à</w:t>
      </w:r>
      <w:proofErr w:type="gramEnd"/>
      <w:r w:rsidRPr="00FB2908">
        <w:rPr>
          <w:sz w:val="24"/>
        </w:rPr>
        <w:t xml:space="preserve"> presente resposta dada ou ocorra mudança de entendimento por parte da Administração Tributária.</w:t>
      </w:r>
    </w:p>
    <w:p w:rsidR="00B966CE" w:rsidRPr="00FB2908" w:rsidRDefault="00B966CE" w:rsidP="00B966CE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B2908">
        <w:rPr>
          <w:rFonts w:ascii="Times New Roman" w:hAnsi="Times New Roman" w:cs="Times New Roman"/>
          <w:sz w:val="24"/>
          <w:szCs w:val="24"/>
        </w:rPr>
        <w:t xml:space="preserve">CCJT, Rio de Janeiro,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B290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FB290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FB29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966CE" w:rsidRPr="00FB2908" w:rsidRDefault="00B966CE" w:rsidP="00B966C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66CE" w:rsidRPr="00FB2908" w:rsidSect="00225CE7">
      <w:headerReference w:type="default" r:id="rId10"/>
      <w:footerReference w:type="default" r:id="rId11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1B" w:rsidRDefault="00FC121B" w:rsidP="00546EC0">
      <w:pPr>
        <w:spacing w:after="0" w:line="240" w:lineRule="auto"/>
      </w:pPr>
      <w:r>
        <w:separator/>
      </w:r>
    </w:p>
  </w:endnote>
  <w:endnote w:type="continuationSeparator" w:id="0">
    <w:p w:rsidR="00FC121B" w:rsidRDefault="00FC121B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B" w:rsidRDefault="00FC121B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FC121B" w:rsidRDefault="00FC121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FC121B" w:rsidRPr="00D75516" w:rsidRDefault="00FC121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FC121B" w:rsidRPr="00302FCD" w:rsidRDefault="00FC121B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1B" w:rsidRDefault="00FC121B" w:rsidP="00546EC0">
      <w:pPr>
        <w:spacing w:after="0" w:line="240" w:lineRule="auto"/>
      </w:pPr>
      <w:r>
        <w:separator/>
      </w:r>
    </w:p>
  </w:footnote>
  <w:footnote w:type="continuationSeparator" w:id="0">
    <w:p w:rsidR="00FC121B" w:rsidRDefault="00FC121B" w:rsidP="00546EC0">
      <w:pPr>
        <w:spacing w:after="0" w:line="240" w:lineRule="auto"/>
      </w:pPr>
      <w:r>
        <w:continuationSeparator/>
      </w:r>
    </w:p>
  </w:footnote>
  <w:footnote w:id="1">
    <w:p w:rsidR="00FC121B" w:rsidRPr="00791C52" w:rsidRDefault="00FC121B" w:rsidP="00791C52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791C52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91C52">
        <w:rPr>
          <w:rFonts w:ascii="Times New Roman" w:hAnsi="Times New Roman" w:cs="Times New Roman"/>
          <w:sz w:val="18"/>
          <w:szCs w:val="18"/>
        </w:rPr>
        <w:t xml:space="preserve"> Foram utilizadas as expressões </w:t>
      </w:r>
      <w:r w:rsidRPr="00FB090B">
        <w:rPr>
          <w:rFonts w:ascii="Times New Roman" w:hAnsi="Times New Roman" w:cs="Times New Roman"/>
          <w:i/>
          <w:sz w:val="18"/>
          <w:szCs w:val="18"/>
        </w:rPr>
        <w:t>‘comprador’</w:t>
      </w:r>
      <w:r w:rsidRPr="00791C52">
        <w:rPr>
          <w:rFonts w:ascii="Times New Roman" w:hAnsi="Times New Roman" w:cs="Times New Roman"/>
          <w:sz w:val="18"/>
          <w:szCs w:val="18"/>
        </w:rPr>
        <w:t xml:space="preserve"> e </w:t>
      </w:r>
      <w:r w:rsidRPr="00FB090B">
        <w:rPr>
          <w:rFonts w:ascii="Times New Roman" w:hAnsi="Times New Roman" w:cs="Times New Roman"/>
          <w:i/>
          <w:sz w:val="18"/>
          <w:szCs w:val="18"/>
        </w:rPr>
        <w:t>‘vendedor’</w:t>
      </w:r>
      <w:r w:rsidRPr="00791C52">
        <w:rPr>
          <w:rFonts w:ascii="Times New Roman" w:hAnsi="Times New Roman" w:cs="Times New Roman"/>
          <w:sz w:val="18"/>
          <w:szCs w:val="18"/>
        </w:rPr>
        <w:t xml:space="preserve">, em substituição às expressões originais empregadas pela consulente, a fim de </w:t>
      </w:r>
      <w:r>
        <w:rPr>
          <w:rFonts w:ascii="Times New Roman" w:hAnsi="Times New Roman" w:cs="Times New Roman"/>
          <w:sz w:val="18"/>
          <w:szCs w:val="18"/>
        </w:rPr>
        <w:t>evitar a exposição de detalhes relativos à</w:t>
      </w:r>
      <w:r w:rsidRPr="00791C52">
        <w:rPr>
          <w:rFonts w:ascii="Times New Roman" w:hAnsi="Times New Roman" w:cs="Times New Roman"/>
          <w:sz w:val="18"/>
          <w:szCs w:val="18"/>
        </w:rPr>
        <w:t xml:space="preserve"> eventual operação comercial da consulente, já que as </w:t>
      </w:r>
      <w:r>
        <w:rPr>
          <w:rFonts w:ascii="Times New Roman" w:hAnsi="Times New Roman" w:cs="Times New Roman"/>
          <w:sz w:val="18"/>
          <w:szCs w:val="18"/>
        </w:rPr>
        <w:t xml:space="preserve">respostas de </w:t>
      </w:r>
      <w:r w:rsidRPr="00791C52">
        <w:rPr>
          <w:rFonts w:ascii="Times New Roman" w:hAnsi="Times New Roman" w:cs="Times New Roman"/>
          <w:sz w:val="18"/>
          <w:szCs w:val="18"/>
        </w:rPr>
        <w:t xml:space="preserve">consultas são disponibilizadas, sem a identificação </w:t>
      </w:r>
      <w:r>
        <w:rPr>
          <w:rFonts w:ascii="Times New Roman" w:hAnsi="Times New Roman" w:cs="Times New Roman"/>
          <w:sz w:val="18"/>
          <w:szCs w:val="18"/>
        </w:rPr>
        <w:t>de quem as efetua</w:t>
      </w:r>
      <w:r w:rsidRPr="00791C52">
        <w:rPr>
          <w:rFonts w:ascii="Times New Roman" w:hAnsi="Times New Roman" w:cs="Times New Roman"/>
          <w:sz w:val="18"/>
          <w:szCs w:val="18"/>
        </w:rPr>
        <w:t>, no sítio desta Secretaria de Fazenda.</w:t>
      </w:r>
    </w:p>
  </w:footnote>
  <w:footnote w:id="2">
    <w:p w:rsidR="00643F1C" w:rsidRPr="00923EAC" w:rsidRDefault="00643F1C" w:rsidP="00643F1C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923EA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23EAC">
        <w:rPr>
          <w:rFonts w:ascii="Times New Roman" w:hAnsi="Times New Roman" w:cs="Times New Roman"/>
          <w:sz w:val="18"/>
          <w:szCs w:val="18"/>
        </w:rPr>
        <w:t xml:space="preserve"> Entendimento firmado diversas vezes por meio do sistema </w:t>
      </w:r>
      <w:r w:rsidRPr="001864CA">
        <w:rPr>
          <w:rFonts w:ascii="Times New Roman" w:hAnsi="Times New Roman" w:cs="Times New Roman"/>
          <w:i/>
          <w:sz w:val="18"/>
          <w:szCs w:val="18"/>
        </w:rPr>
        <w:t>‘</w:t>
      </w:r>
      <w:proofErr w:type="spellStart"/>
      <w:r w:rsidRPr="001864CA">
        <w:rPr>
          <w:rFonts w:ascii="Times New Roman" w:hAnsi="Times New Roman" w:cs="Times New Roman"/>
          <w:i/>
          <w:sz w:val="18"/>
          <w:szCs w:val="18"/>
        </w:rPr>
        <w:t>faleconosco</w:t>
      </w:r>
      <w:proofErr w:type="spellEnd"/>
      <w:r w:rsidRPr="001864CA">
        <w:rPr>
          <w:rFonts w:ascii="Times New Roman" w:hAnsi="Times New Roman" w:cs="Times New Roman"/>
          <w:i/>
          <w:sz w:val="18"/>
          <w:szCs w:val="18"/>
        </w:rPr>
        <w:t>’</w:t>
      </w:r>
      <w:r w:rsidRPr="00923EAC">
        <w:rPr>
          <w:rFonts w:ascii="Times New Roman" w:hAnsi="Times New Roman" w:cs="Times New Roman"/>
          <w:sz w:val="18"/>
          <w:szCs w:val="18"/>
        </w:rPr>
        <w:t xml:space="preserve"> desta Secretaria de Fazenda, conforme, </w:t>
      </w:r>
      <w:r w:rsidRPr="00923EAC">
        <w:rPr>
          <w:rFonts w:ascii="Times New Roman" w:hAnsi="Times New Roman" w:cs="Times New Roman"/>
          <w:i/>
          <w:sz w:val="18"/>
          <w:szCs w:val="18"/>
        </w:rPr>
        <w:t>p.ex.</w:t>
      </w:r>
      <w:r w:rsidRPr="00923EAC">
        <w:rPr>
          <w:rFonts w:ascii="Times New Roman" w:hAnsi="Times New Roman" w:cs="Times New Roman"/>
          <w:sz w:val="18"/>
          <w:szCs w:val="18"/>
        </w:rPr>
        <w:t>, Protocolos 20150410.01.1.013; 20150817.01.1.033; 20151130.01.1.030 e 20170627.01.1.048.</w:t>
      </w:r>
    </w:p>
  </w:footnote>
  <w:footnote w:id="3">
    <w:p w:rsidR="00FC121B" w:rsidRPr="006B594F" w:rsidRDefault="00FC121B" w:rsidP="006B594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6B594F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6B594F">
        <w:rPr>
          <w:rFonts w:ascii="Times New Roman" w:hAnsi="Times New Roman" w:cs="Times New Roman"/>
          <w:sz w:val="18"/>
          <w:szCs w:val="18"/>
        </w:rPr>
        <w:t xml:space="preserve"> Relativamente às obrigações acessórias, </w:t>
      </w:r>
      <w:r w:rsidR="005F352D">
        <w:rPr>
          <w:rFonts w:ascii="Times New Roman" w:hAnsi="Times New Roman" w:cs="Times New Roman"/>
          <w:sz w:val="18"/>
          <w:szCs w:val="18"/>
        </w:rPr>
        <w:t xml:space="preserve">pode </w:t>
      </w:r>
      <w:r w:rsidRPr="006B594F">
        <w:rPr>
          <w:rFonts w:ascii="Times New Roman" w:hAnsi="Times New Roman" w:cs="Times New Roman"/>
          <w:sz w:val="18"/>
          <w:szCs w:val="18"/>
        </w:rPr>
        <w:t xml:space="preserve">a Consulente </w:t>
      </w:r>
      <w:r w:rsidR="005F352D">
        <w:rPr>
          <w:rFonts w:ascii="Times New Roman" w:hAnsi="Times New Roman" w:cs="Times New Roman"/>
          <w:sz w:val="18"/>
          <w:szCs w:val="18"/>
        </w:rPr>
        <w:t>verificar a possibilidade de</w:t>
      </w:r>
      <w:r w:rsidRPr="006B594F">
        <w:rPr>
          <w:rFonts w:ascii="Times New Roman" w:hAnsi="Times New Roman" w:cs="Times New Roman"/>
          <w:sz w:val="18"/>
          <w:szCs w:val="18"/>
        </w:rPr>
        <w:t xml:space="preserve"> </w:t>
      </w:r>
      <w:r w:rsidR="001864CA">
        <w:rPr>
          <w:rFonts w:ascii="Times New Roman" w:hAnsi="Times New Roman" w:cs="Times New Roman"/>
          <w:sz w:val="18"/>
          <w:szCs w:val="18"/>
        </w:rPr>
        <w:t>pleitear</w:t>
      </w:r>
      <w:r w:rsidRPr="006B594F">
        <w:rPr>
          <w:rFonts w:ascii="Times New Roman" w:hAnsi="Times New Roman" w:cs="Times New Roman"/>
          <w:sz w:val="18"/>
          <w:szCs w:val="18"/>
        </w:rPr>
        <w:t xml:space="preserve"> regime especial, nos termos do artigo 52 do Livro VI do RICMS/00.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FC121B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FC121B" w:rsidRPr="001C3C9E" w:rsidRDefault="00FC121B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FC121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FC121B" w:rsidRPr="001C3C9E" w:rsidRDefault="00FC121B" w:rsidP="008E3142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E-04/006/894/2017</w:t>
          </w:r>
        </w:p>
      </w:tc>
    </w:tr>
    <w:tr w:rsidR="00FC121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FC121B" w:rsidRPr="001C3C9E" w:rsidRDefault="00FC121B" w:rsidP="008E3142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31/05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2017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FC121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FC121B" w:rsidRDefault="00FC121B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FC121B" w:rsidRPr="001C3C9E" w:rsidRDefault="00FC121B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FC121B" w:rsidRPr="001C3C9E" w:rsidRDefault="00FC121B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FC121B" w:rsidRPr="00E537A2" w:rsidRDefault="00FC121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02D25"/>
    <w:multiLevelType w:val="hybridMultilevel"/>
    <w:tmpl w:val="DA8E0170"/>
    <w:lvl w:ilvl="0" w:tplc="5E0C740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0"/>
  </w:num>
  <w:num w:numId="5">
    <w:abstractNumId w:val="21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22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6"/>
  </w:num>
  <w:num w:numId="20">
    <w:abstractNumId w:val="17"/>
  </w:num>
  <w:num w:numId="21">
    <w:abstractNumId w:val="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1CCA"/>
    <w:rsid w:val="000D275D"/>
    <w:rsid w:val="000D2FDB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0C6A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3747D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70A4"/>
    <w:rsid w:val="00150421"/>
    <w:rsid w:val="00151364"/>
    <w:rsid w:val="001520B1"/>
    <w:rsid w:val="00152411"/>
    <w:rsid w:val="001525FC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1B13"/>
    <w:rsid w:val="00162509"/>
    <w:rsid w:val="00163896"/>
    <w:rsid w:val="00164851"/>
    <w:rsid w:val="00165CD5"/>
    <w:rsid w:val="00167951"/>
    <w:rsid w:val="0017039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4CA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97D4B"/>
    <w:rsid w:val="001A0D0D"/>
    <w:rsid w:val="001A10DB"/>
    <w:rsid w:val="001A1FF0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03D"/>
    <w:rsid w:val="002176D3"/>
    <w:rsid w:val="0022014F"/>
    <w:rsid w:val="0022043E"/>
    <w:rsid w:val="00220896"/>
    <w:rsid w:val="002223BB"/>
    <w:rsid w:val="00223130"/>
    <w:rsid w:val="00224C3B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598E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58E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6D0B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510"/>
    <w:rsid w:val="00316A0C"/>
    <w:rsid w:val="00320522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4CE4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0469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46C"/>
    <w:rsid w:val="003D0913"/>
    <w:rsid w:val="003D0C5E"/>
    <w:rsid w:val="003D15B6"/>
    <w:rsid w:val="003D1B2D"/>
    <w:rsid w:val="003D1EA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4AA4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71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3F7FC8"/>
    <w:rsid w:val="00400341"/>
    <w:rsid w:val="00400A42"/>
    <w:rsid w:val="00400C47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6B4F"/>
    <w:rsid w:val="0042774A"/>
    <w:rsid w:val="004279C5"/>
    <w:rsid w:val="00427C1C"/>
    <w:rsid w:val="00430402"/>
    <w:rsid w:val="00430C91"/>
    <w:rsid w:val="00432BB4"/>
    <w:rsid w:val="00432F48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5697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2751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E70A9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CEC"/>
    <w:rsid w:val="005253B1"/>
    <w:rsid w:val="0052564C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463D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9AC"/>
    <w:rsid w:val="00565AC3"/>
    <w:rsid w:val="00565C95"/>
    <w:rsid w:val="00566C03"/>
    <w:rsid w:val="005670C1"/>
    <w:rsid w:val="0056716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0FA5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288"/>
    <w:rsid w:val="005C1A7F"/>
    <w:rsid w:val="005C1B3E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1D54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352D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3F1C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67845"/>
    <w:rsid w:val="006714F7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841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5EB9"/>
    <w:rsid w:val="006A701A"/>
    <w:rsid w:val="006A7793"/>
    <w:rsid w:val="006B0314"/>
    <w:rsid w:val="006B1005"/>
    <w:rsid w:val="006B142E"/>
    <w:rsid w:val="006B1575"/>
    <w:rsid w:val="006B274B"/>
    <w:rsid w:val="006B53DA"/>
    <w:rsid w:val="006B594F"/>
    <w:rsid w:val="006B5A4F"/>
    <w:rsid w:val="006B6899"/>
    <w:rsid w:val="006B7415"/>
    <w:rsid w:val="006C0014"/>
    <w:rsid w:val="006C01B3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2CFA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236D"/>
    <w:rsid w:val="00723574"/>
    <w:rsid w:val="00724E79"/>
    <w:rsid w:val="00725B0F"/>
    <w:rsid w:val="00725D53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1C52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BCB"/>
    <w:rsid w:val="007D2E38"/>
    <w:rsid w:val="007D3978"/>
    <w:rsid w:val="007D3A73"/>
    <w:rsid w:val="007D418D"/>
    <w:rsid w:val="007D4208"/>
    <w:rsid w:val="007D4649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00A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3018F"/>
    <w:rsid w:val="00830A8D"/>
    <w:rsid w:val="0083211D"/>
    <w:rsid w:val="008324D9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0D70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CD0"/>
    <w:rsid w:val="008910D3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A88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4606"/>
    <w:rsid w:val="008B545D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730"/>
    <w:rsid w:val="008E17E3"/>
    <w:rsid w:val="008E1955"/>
    <w:rsid w:val="008E1AA6"/>
    <w:rsid w:val="008E2DB3"/>
    <w:rsid w:val="008E3142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91B"/>
    <w:rsid w:val="00907D88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3EAC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1B77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941"/>
    <w:rsid w:val="009B4B3B"/>
    <w:rsid w:val="009B68D8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30FD"/>
    <w:rsid w:val="009F3446"/>
    <w:rsid w:val="009F37B2"/>
    <w:rsid w:val="009F3D9A"/>
    <w:rsid w:val="009F3F03"/>
    <w:rsid w:val="009F3FDE"/>
    <w:rsid w:val="009F4CDB"/>
    <w:rsid w:val="009F52CA"/>
    <w:rsid w:val="009F5AC5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4AC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32C9"/>
    <w:rsid w:val="00A84D22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1CD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1EE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6CE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5DB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67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52F6"/>
    <w:rsid w:val="00BD6DA9"/>
    <w:rsid w:val="00BD7814"/>
    <w:rsid w:val="00BD7D20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5CAD"/>
    <w:rsid w:val="00C1611B"/>
    <w:rsid w:val="00C20026"/>
    <w:rsid w:val="00C20244"/>
    <w:rsid w:val="00C21134"/>
    <w:rsid w:val="00C21F17"/>
    <w:rsid w:val="00C2211C"/>
    <w:rsid w:val="00C225D1"/>
    <w:rsid w:val="00C227A4"/>
    <w:rsid w:val="00C23135"/>
    <w:rsid w:val="00C23BB8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1F33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374B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5BC"/>
    <w:rsid w:val="00CD2BD8"/>
    <w:rsid w:val="00CD2C5B"/>
    <w:rsid w:val="00CD32C0"/>
    <w:rsid w:val="00CD5C7A"/>
    <w:rsid w:val="00CD5C96"/>
    <w:rsid w:val="00CD5CDD"/>
    <w:rsid w:val="00CD64F0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0D72"/>
    <w:rsid w:val="00D11C36"/>
    <w:rsid w:val="00D1210B"/>
    <w:rsid w:val="00D12393"/>
    <w:rsid w:val="00D1394E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3045"/>
    <w:rsid w:val="00D5314E"/>
    <w:rsid w:val="00D532A0"/>
    <w:rsid w:val="00D5350E"/>
    <w:rsid w:val="00D553A3"/>
    <w:rsid w:val="00D569D9"/>
    <w:rsid w:val="00D56B06"/>
    <w:rsid w:val="00D56D4C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46BE"/>
    <w:rsid w:val="00D74D6A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7837"/>
    <w:rsid w:val="00DB0F7F"/>
    <w:rsid w:val="00DB1064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D35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47F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399A"/>
    <w:rsid w:val="00E247A8"/>
    <w:rsid w:val="00E24C26"/>
    <w:rsid w:val="00E24FF7"/>
    <w:rsid w:val="00E25144"/>
    <w:rsid w:val="00E259D1"/>
    <w:rsid w:val="00E25AB2"/>
    <w:rsid w:val="00E26680"/>
    <w:rsid w:val="00E27821"/>
    <w:rsid w:val="00E27DF9"/>
    <w:rsid w:val="00E301FB"/>
    <w:rsid w:val="00E30F64"/>
    <w:rsid w:val="00E311EB"/>
    <w:rsid w:val="00E31AF5"/>
    <w:rsid w:val="00E31F27"/>
    <w:rsid w:val="00E32C42"/>
    <w:rsid w:val="00E33283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A1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604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5BB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4619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263E"/>
    <w:rsid w:val="00FA4D4C"/>
    <w:rsid w:val="00FA5531"/>
    <w:rsid w:val="00FA5C31"/>
    <w:rsid w:val="00FA66BC"/>
    <w:rsid w:val="00FA6CD2"/>
    <w:rsid w:val="00FA742D"/>
    <w:rsid w:val="00FB01C1"/>
    <w:rsid w:val="00FB090B"/>
    <w:rsid w:val="00FB0DDF"/>
    <w:rsid w:val="00FB15B2"/>
    <w:rsid w:val="00FB19D6"/>
    <w:rsid w:val="00FB2908"/>
    <w:rsid w:val="00FB2F6E"/>
    <w:rsid w:val="00FB39F5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121B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E2436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354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354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E795F"/>
    <w:rsid w:val="003F7785"/>
    <w:rsid w:val="0040334C"/>
    <w:rsid w:val="00403A9B"/>
    <w:rsid w:val="00421712"/>
    <w:rsid w:val="004247FE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764BC"/>
    <w:rsid w:val="00994752"/>
    <w:rsid w:val="00995D03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F2A3B"/>
    <w:rsid w:val="00D372EA"/>
    <w:rsid w:val="00D50029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0759-F916-4D39-9072-6CC2E796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2018-05-22T15:05:00Z</cp:lastPrinted>
  <dcterms:created xsi:type="dcterms:W3CDTF">2018-07-12T18:14:00Z</dcterms:created>
  <dcterms:modified xsi:type="dcterms:W3CDTF">2018-07-12T18:15:00Z</dcterms:modified>
</cp:coreProperties>
</file>