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C14A84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01F2A" w:rsidP="00C14A84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9114C8" w:rsidRDefault="00BE69F9" w:rsidP="00063B9F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possibilidade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de aplicação do disposto no artigo 45, parágrafo único, inciso I, do Livro IV do RICMS-RJ/00 quando da utilização de contêineres para acondicionar o óleo lubrificante acabado </w:t>
            </w:r>
            <w:r w:rsidR="00063B9F">
              <w:rPr>
                <w:rFonts w:ascii="Times New Roman" w:hAnsi="Times New Roman"/>
                <w:szCs w:val="22"/>
              </w:rPr>
              <w:t>destinado a revendedores atacadistas</w:t>
            </w:r>
            <w:r w:rsidR="008D0CD7">
              <w:rPr>
                <w:rFonts w:ascii="Times New Roman" w:hAnsi="Times New Roman"/>
                <w:szCs w:val="22"/>
              </w:rPr>
              <w:t>.</w:t>
            </w:r>
            <w:r w:rsidR="00386DBE">
              <w:rPr>
                <w:rFonts w:ascii="Times New Roman" w:hAnsi="Times New Roman"/>
                <w:szCs w:val="22"/>
              </w:rPr>
              <w:t xml:space="preserve"> </w:t>
            </w:r>
            <w:r w:rsidR="00063B9F" w:rsidRPr="00063B9F">
              <w:rPr>
                <w:rFonts w:ascii="Times New Roman" w:hAnsi="Times New Roman"/>
                <w:szCs w:val="22"/>
              </w:rPr>
              <w:t>NÃO SE APLICA O DISPOSTO NO INCISO I DO PARÁGRAFO ÚNICO DO ARTIGO 45 DO LIVRO IV DO RICMS-RJ/00 NA HIPÓTESE APRESENTADA.</w:t>
            </w:r>
            <w:r w:rsidR="00063B9F" w:rsidRPr="00C25ABB">
              <w:rPr>
                <w:rFonts w:ascii="Times New Roman" w:hAnsi="Times New Roman"/>
                <w:szCs w:val="22"/>
              </w:rPr>
              <w:t xml:space="preserve"> </w:t>
            </w:r>
            <w:r w:rsidR="00386DBE" w:rsidRPr="00C25ABB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:rsidR="003D5849" w:rsidRPr="003D5849" w:rsidRDefault="003D5849" w:rsidP="00C14A84">
      <w:pPr>
        <w:pStyle w:val="Corpodetexto"/>
        <w:spacing w:line="360" w:lineRule="auto"/>
        <w:ind w:right="-1" w:firstLine="709"/>
        <w:jc w:val="both"/>
        <w:rPr>
          <w:sz w:val="8"/>
          <w:szCs w:val="22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E11B24" w:rsidRPr="006F06F0" w:rsidTr="001C62A8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1B24" w:rsidRPr="006F06F0" w:rsidRDefault="00E11B24" w:rsidP="001C62A8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1B24" w:rsidRPr="006F06F0" w:rsidRDefault="00E11B24" w:rsidP="001C62A8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11B24" w:rsidRPr="00CD274E" w:rsidRDefault="00E11B24" w:rsidP="00386DBE">
            <w:pPr>
              <w:pStyle w:val="Ttulo2"/>
              <w:ind w:right="72"/>
              <w:rPr>
                <w:rFonts w:ascii="Times New Roman" w:hAnsi="Times New Roman"/>
                <w:sz w:val="12"/>
                <w:szCs w:val="22"/>
              </w:rPr>
            </w:pPr>
          </w:p>
          <w:p w:rsidR="00E11B24" w:rsidRPr="006F06F0" w:rsidRDefault="00E11B24" w:rsidP="001C62A8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</w:t>
            </w:r>
            <w:r w:rsidR="00A650EC">
              <w:rPr>
                <w:rFonts w:ascii="Times New Roman" w:hAnsi="Times New Roman"/>
                <w:szCs w:val="22"/>
              </w:rPr>
              <w:t>050</w:t>
            </w:r>
            <w:r w:rsidRPr="006F06F0">
              <w:rPr>
                <w:rFonts w:ascii="Times New Roman" w:hAnsi="Times New Roman"/>
                <w:szCs w:val="22"/>
              </w:rPr>
              <w:t xml:space="preserve">  /201</w:t>
            </w:r>
            <w:r>
              <w:rPr>
                <w:rFonts w:ascii="Times New Roman" w:hAnsi="Times New Roman"/>
                <w:szCs w:val="22"/>
              </w:rPr>
              <w:t>6</w:t>
            </w:r>
          </w:p>
          <w:p w:rsidR="00E11B24" w:rsidRPr="00F00586" w:rsidRDefault="00E11B24" w:rsidP="001C62A8">
            <w:pPr>
              <w:ind w:right="72"/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E11B24" w:rsidRPr="00F00586" w:rsidRDefault="00E11B24" w:rsidP="003D5849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  <w:b/>
          <w:sz w:val="12"/>
        </w:rPr>
      </w:pPr>
    </w:p>
    <w:p w:rsidR="00E11B24" w:rsidRDefault="00E11B24" w:rsidP="00E11B24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3D5849" w:rsidRPr="00F00586" w:rsidRDefault="003D5849" w:rsidP="00C14A84">
      <w:pPr>
        <w:pStyle w:val="Corpodetexto"/>
        <w:spacing w:line="360" w:lineRule="auto"/>
        <w:ind w:right="-1" w:firstLine="709"/>
        <w:jc w:val="both"/>
        <w:rPr>
          <w:sz w:val="16"/>
          <w:szCs w:val="22"/>
        </w:rPr>
      </w:pPr>
    </w:p>
    <w:p w:rsidR="004136EA" w:rsidRPr="008D0CD7" w:rsidRDefault="004136EA" w:rsidP="0004321D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 w:rsidR="003716F0"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vem solicitar </w:t>
      </w:r>
      <w:r w:rsidRPr="00084116">
        <w:rPr>
          <w:b/>
          <w:sz w:val="22"/>
          <w:szCs w:val="22"/>
        </w:rPr>
        <w:t xml:space="preserve">o entendimento desta Superintendência </w:t>
      </w:r>
      <w:r w:rsidR="003716F0" w:rsidRPr="00084116">
        <w:rPr>
          <w:b/>
          <w:sz w:val="22"/>
          <w:szCs w:val="22"/>
        </w:rPr>
        <w:t>de Tributação</w:t>
      </w:r>
      <w:r w:rsidR="00BE69F9">
        <w:rPr>
          <w:b/>
          <w:sz w:val="22"/>
          <w:szCs w:val="22"/>
        </w:rPr>
        <w:t xml:space="preserve"> </w:t>
      </w:r>
      <w:r w:rsidR="00BE69F9" w:rsidRPr="00BE69F9">
        <w:rPr>
          <w:b/>
          <w:sz w:val="22"/>
          <w:szCs w:val="22"/>
        </w:rPr>
        <w:t xml:space="preserve">acerca da possibilidade de aplicação do disposto no artigo 45, parágrafo único, inciso </w:t>
      </w:r>
      <w:r w:rsidR="00BE69F9">
        <w:rPr>
          <w:b/>
          <w:sz w:val="22"/>
          <w:szCs w:val="22"/>
        </w:rPr>
        <w:t>I</w:t>
      </w:r>
      <w:r w:rsidR="00BE69F9" w:rsidRPr="00BE69F9">
        <w:rPr>
          <w:b/>
          <w:sz w:val="22"/>
          <w:szCs w:val="22"/>
        </w:rPr>
        <w:t xml:space="preserve">, do Livro IV do RICMS-RJ/00 quando da utilização de contêineres para acondicionar o óleo lubrificante acabado não destinado </w:t>
      </w:r>
      <w:proofErr w:type="gramStart"/>
      <w:r w:rsidR="00BE69F9" w:rsidRPr="00BE69F9">
        <w:rPr>
          <w:b/>
          <w:sz w:val="22"/>
          <w:szCs w:val="22"/>
        </w:rPr>
        <w:t>a</w:t>
      </w:r>
      <w:proofErr w:type="gramEnd"/>
      <w:r w:rsidR="00BE69F9" w:rsidRPr="00BE69F9">
        <w:rPr>
          <w:b/>
          <w:sz w:val="22"/>
          <w:szCs w:val="22"/>
        </w:rPr>
        <w:t xml:space="preserve"> venda a varejo</w:t>
      </w:r>
      <w:r w:rsidR="003670F1" w:rsidRPr="003670F1">
        <w:rPr>
          <w:b/>
          <w:sz w:val="22"/>
          <w:szCs w:val="22"/>
        </w:rPr>
        <w:t>.</w:t>
      </w:r>
    </w:p>
    <w:p w:rsidR="003670F1" w:rsidRDefault="003670F1" w:rsidP="003670F1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</w:t>
      </w:r>
      <w:r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>s</w:t>
      </w:r>
      <w:r w:rsidRPr="008D0CD7">
        <w:rPr>
          <w:sz w:val="22"/>
          <w:szCs w:val="22"/>
        </w:rPr>
        <w:t xml:space="preserve">. </w:t>
      </w:r>
      <w:r w:rsidR="00F71664">
        <w:rPr>
          <w:sz w:val="22"/>
          <w:szCs w:val="22"/>
        </w:rPr>
        <w:t>1</w:t>
      </w:r>
      <w:r>
        <w:rPr>
          <w:sz w:val="22"/>
          <w:szCs w:val="22"/>
        </w:rPr>
        <w:t xml:space="preserve">0/11), </w:t>
      </w:r>
      <w:r w:rsidRPr="008D0CD7">
        <w:rPr>
          <w:sz w:val="22"/>
          <w:szCs w:val="22"/>
        </w:rPr>
        <w:t>bem como</w:t>
      </w:r>
      <w:r w:rsidRPr="003670F1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 xml:space="preserve">com </w:t>
      </w:r>
      <w:r>
        <w:rPr>
          <w:sz w:val="22"/>
          <w:szCs w:val="22"/>
        </w:rPr>
        <w:t>cópias reprográficas</w:t>
      </w:r>
      <w:r w:rsidRPr="00524448">
        <w:rPr>
          <w:sz w:val="22"/>
          <w:szCs w:val="22"/>
        </w:rPr>
        <w:t xml:space="preserve"> que comprovam a habilitação do signatário da petição inicial</w:t>
      </w:r>
      <w:r w:rsidRPr="008D0CD7">
        <w:rPr>
          <w:sz w:val="22"/>
          <w:szCs w:val="22"/>
        </w:rPr>
        <w:t xml:space="preserve"> (fl</w:t>
      </w:r>
      <w:r>
        <w:rPr>
          <w:sz w:val="22"/>
          <w:szCs w:val="22"/>
        </w:rPr>
        <w:t>s. 12/</w:t>
      </w:r>
      <w:r w:rsidR="00F71664">
        <w:rPr>
          <w:sz w:val="22"/>
          <w:szCs w:val="22"/>
        </w:rPr>
        <w:t>19</w:t>
      </w:r>
      <w:r w:rsidRPr="008D0CD7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C475BC" w:rsidRDefault="00F71664" w:rsidP="00C475BC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 IFE 04 – Petróleo e Combustíveis</w:t>
      </w:r>
      <w:r w:rsidRPr="00F71664">
        <w:rPr>
          <w:sz w:val="22"/>
          <w:szCs w:val="22"/>
        </w:rPr>
        <w:t xml:space="preserve"> </w:t>
      </w:r>
      <w:r>
        <w:rPr>
          <w:sz w:val="22"/>
          <w:szCs w:val="22"/>
        </w:rPr>
        <w:t>informou que “</w:t>
      </w:r>
      <w:r>
        <w:rPr>
          <w:i/>
          <w:sz w:val="22"/>
          <w:szCs w:val="22"/>
        </w:rPr>
        <w:t>o tema da consulta, no momento, não está sendo abordado em fiscalizações na raiz de CNPJ 33.337.122</w:t>
      </w:r>
      <w:r>
        <w:rPr>
          <w:sz w:val="22"/>
          <w:szCs w:val="22"/>
        </w:rPr>
        <w:t xml:space="preserve">”. Entretanto, </w:t>
      </w:r>
      <w:r w:rsidRPr="00F71664">
        <w:rPr>
          <w:b/>
          <w:sz w:val="22"/>
          <w:szCs w:val="22"/>
          <w:u w:val="single"/>
        </w:rPr>
        <w:t xml:space="preserve">não informou se </w:t>
      </w:r>
      <w:r w:rsidR="00C475BC" w:rsidRPr="00F71664">
        <w:rPr>
          <w:b/>
          <w:sz w:val="22"/>
          <w:szCs w:val="22"/>
          <w:u w:val="single"/>
        </w:rPr>
        <w:t xml:space="preserve">a </w:t>
      </w:r>
      <w:r w:rsidR="00C475BC" w:rsidRPr="00C25ABB">
        <w:rPr>
          <w:b/>
          <w:sz w:val="22"/>
          <w:szCs w:val="22"/>
          <w:u w:val="single"/>
        </w:rPr>
        <w:t>consulente sofreu alguma autuação, ainda pendente de decisão final, cujo fundamento esteja direta ou indiretamente relacionado às dúvidas suscitadas</w:t>
      </w:r>
      <w:r w:rsidR="00C475BC" w:rsidRPr="00C25ABB">
        <w:rPr>
          <w:sz w:val="22"/>
          <w:szCs w:val="22"/>
        </w:rPr>
        <w:t xml:space="preserve">, conforme </w:t>
      </w:r>
      <w:r w:rsidR="00DB42A9">
        <w:rPr>
          <w:sz w:val="22"/>
          <w:szCs w:val="22"/>
        </w:rPr>
        <w:t>previsto n</w:t>
      </w:r>
      <w:r w:rsidR="00C475BC" w:rsidRPr="00C25ABB">
        <w:rPr>
          <w:sz w:val="22"/>
          <w:szCs w:val="22"/>
        </w:rPr>
        <w:t>o inciso II do</w:t>
      </w:r>
      <w:r w:rsidR="00C475BC" w:rsidRPr="00C475BC">
        <w:rPr>
          <w:sz w:val="22"/>
          <w:szCs w:val="22"/>
        </w:rPr>
        <w:t xml:space="preserve"> artigo 3° da Resolução nº 109/76.</w:t>
      </w:r>
    </w:p>
    <w:p w:rsidR="00F00586" w:rsidRPr="00C475BC" w:rsidRDefault="00F00586" w:rsidP="00C475BC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</w:p>
    <w:p w:rsidR="00F43F36" w:rsidRPr="004136EA" w:rsidRDefault="00F43F36" w:rsidP="00F43F36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C475BC" w:rsidRDefault="00F71664" w:rsidP="00F43F36">
      <w:pPr>
        <w:pStyle w:val="Corpodetexto"/>
        <w:spacing w:line="360" w:lineRule="auto"/>
        <w:ind w:right="-1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Em que pese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utilização do termo </w:t>
      </w:r>
      <w:r w:rsidR="00F00586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tam</w:t>
      </w:r>
      <w:r w:rsidR="00F00586">
        <w:rPr>
          <w:i/>
          <w:sz w:val="22"/>
          <w:szCs w:val="22"/>
        </w:rPr>
        <w:t>bores” pela legislação do Rio de Janeiro, o disposto no artigo 45, parágrafo único, ‘1’, do Livro IV, Título VIII do RICMS/RJ (Dec. Est. N° 27.427 de 17.11.2000) deve ser aplicado e estendido, por analogia e razoabilidade, aos contêineres utilizados pela Consulente para acondicionar o óleo lubrificante acabado não destinado a venda a varejo</w:t>
      </w:r>
      <w:r w:rsidR="00663AEB">
        <w:rPr>
          <w:i/>
          <w:sz w:val="22"/>
          <w:szCs w:val="22"/>
        </w:rPr>
        <w:t>?</w:t>
      </w:r>
    </w:p>
    <w:p w:rsidR="00F43F36" w:rsidRPr="00D434F1" w:rsidRDefault="00F43F36" w:rsidP="00F43F36">
      <w:pPr>
        <w:pStyle w:val="Corpodetexto"/>
        <w:spacing w:line="360" w:lineRule="auto"/>
        <w:ind w:left="1069"/>
        <w:jc w:val="both"/>
        <w:rPr>
          <w:i/>
          <w:sz w:val="20"/>
          <w:szCs w:val="22"/>
        </w:rPr>
      </w:pPr>
    </w:p>
    <w:p w:rsidR="00C25ABB" w:rsidRDefault="00C25ABB" w:rsidP="00F43F36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</w:p>
    <w:p w:rsidR="00F43F36" w:rsidRPr="006F06F0" w:rsidRDefault="00F43F36" w:rsidP="00F43F36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F43F36" w:rsidRPr="00D434F1" w:rsidRDefault="00F43F36" w:rsidP="00F43F36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0"/>
        </w:rPr>
      </w:pPr>
    </w:p>
    <w:p w:rsidR="00C73DA1" w:rsidRDefault="00663AEB" w:rsidP="00C73DA1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C73DA1">
        <w:rPr>
          <w:sz w:val="22"/>
          <w:szCs w:val="22"/>
        </w:rPr>
        <w:t xml:space="preserve">Preliminarmente, </w:t>
      </w:r>
      <w:r w:rsidR="00C73DA1" w:rsidRPr="00C73DA1">
        <w:rPr>
          <w:sz w:val="22"/>
          <w:szCs w:val="22"/>
        </w:rPr>
        <w:t>em que pese não ter sido informado</w:t>
      </w:r>
      <w:r w:rsidR="00C73DA1">
        <w:rPr>
          <w:sz w:val="22"/>
          <w:szCs w:val="22"/>
        </w:rPr>
        <w:t xml:space="preserve"> expressamente</w:t>
      </w:r>
      <w:r w:rsidR="00C73DA1" w:rsidRPr="00C73DA1">
        <w:rPr>
          <w:sz w:val="22"/>
          <w:szCs w:val="22"/>
        </w:rPr>
        <w:t xml:space="preserve"> pela IFE </w:t>
      </w:r>
      <w:r w:rsidR="00C73DA1">
        <w:rPr>
          <w:sz w:val="22"/>
          <w:szCs w:val="22"/>
        </w:rPr>
        <w:t xml:space="preserve">04 – Petróleo e </w:t>
      </w:r>
      <w:r w:rsidR="00C73DA1">
        <w:rPr>
          <w:sz w:val="22"/>
          <w:szCs w:val="22"/>
        </w:rPr>
        <w:lastRenderedPageBreak/>
        <w:t>Combustíveis</w:t>
      </w:r>
      <w:r w:rsidR="00C73DA1" w:rsidRPr="00C73DA1">
        <w:rPr>
          <w:sz w:val="22"/>
          <w:szCs w:val="22"/>
        </w:rPr>
        <w:t xml:space="preserve"> se a consulente sofreu alguma autuação, ainda pendente de decisão final, cujo fundamento esteja direta ou indiretamente relacionado às dúvidas suscitadas, conforme </w:t>
      </w:r>
      <w:r w:rsidR="00AE3CDB">
        <w:rPr>
          <w:sz w:val="22"/>
          <w:szCs w:val="22"/>
        </w:rPr>
        <w:t>previsto n</w:t>
      </w:r>
      <w:r w:rsidR="00C73DA1" w:rsidRPr="00C73DA1">
        <w:rPr>
          <w:sz w:val="22"/>
          <w:szCs w:val="22"/>
        </w:rPr>
        <w:t>o inciso II do</w:t>
      </w:r>
      <w:r w:rsidR="00C73DA1" w:rsidRPr="00C475BC">
        <w:rPr>
          <w:sz w:val="22"/>
          <w:szCs w:val="22"/>
        </w:rPr>
        <w:t xml:space="preserve"> a</w:t>
      </w:r>
      <w:r w:rsidR="00C73DA1">
        <w:rPr>
          <w:sz w:val="22"/>
          <w:szCs w:val="22"/>
        </w:rPr>
        <w:t xml:space="preserve">rtigo 3° da Resolução nº 109/76, esta consulta será respondida, por economia processual, </w:t>
      </w:r>
      <w:r w:rsidR="00AE3CDB">
        <w:rPr>
          <w:sz w:val="22"/>
          <w:szCs w:val="22"/>
        </w:rPr>
        <w:t>mas somente produzirá os efeitos que lhe são próprios na hipótese</w:t>
      </w:r>
      <w:r w:rsidR="00C73DA1">
        <w:rPr>
          <w:sz w:val="22"/>
          <w:szCs w:val="22"/>
        </w:rPr>
        <w:t xml:space="preserve">, a ser verificada pela IFE 04 antes da ciência </w:t>
      </w:r>
      <w:r w:rsidR="00AE3CDB">
        <w:rPr>
          <w:sz w:val="22"/>
          <w:szCs w:val="22"/>
        </w:rPr>
        <w:t xml:space="preserve">ao contribuinte </w:t>
      </w:r>
      <w:r w:rsidR="00C73DA1">
        <w:rPr>
          <w:sz w:val="22"/>
          <w:szCs w:val="22"/>
        </w:rPr>
        <w:t xml:space="preserve">desta resposta de consulta, de que não haja </w:t>
      </w:r>
      <w:r w:rsidR="00C73DA1" w:rsidRPr="00C73DA1">
        <w:rPr>
          <w:sz w:val="22"/>
          <w:szCs w:val="22"/>
        </w:rPr>
        <w:t xml:space="preserve">autuação, ainda pendente de decisão final, cujo fundamento esteja direta ou indiretamente relacionado às dúvidas </w:t>
      </w:r>
      <w:r w:rsidR="00C73DA1">
        <w:rPr>
          <w:sz w:val="22"/>
          <w:szCs w:val="22"/>
        </w:rPr>
        <w:t>apresentadas.</w:t>
      </w:r>
    </w:p>
    <w:p w:rsidR="006B2042" w:rsidRDefault="006B2042" w:rsidP="00C73DA1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Outro ponto preliminar refere-se à afirmação da consulente de que “</w:t>
      </w:r>
      <w:r>
        <w:rPr>
          <w:i/>
          <w:sz w:val="22"/>
          <w:szCs w:val="22"/>
        </w:rPr>
        <w:t xml:space="preserve">nesses casos específicos – comercialização de óleo lubrificante acabado a revendedores atacadistas em tambores –, </w:t>
      </w:r>
      <w:r w:rsidR="00EC0823">
        <w:rPr>
          <w:i/>
          <w:sz w:val="22"/>
          <w:szCs w:val="22"/>
        </w:rPr>
        <w:t>nos termos do art. 45, parágrafo único, ‘1’ do Livro IV, Título VIII do RICMS/RJ (Dec. Est. n° 27.427 de 17.11.2000), cessa a responsabilidade da Consulente pela retenção do imposto relativo às operações subsequentes com óleo lubrificante acabado. Ou seja, encerra-se a substituição tributária.</w:t>
      </w:r>
      <w:r>
        <w:rPr>
          <w:sz w:val="22"/>
          <w:szCs w:val="22"/>
        </w:rPr>
        <w:t xml:space="preserve">”. Registre-se que o contribuinte partiu de uma premissa equivocada, ao passo que </w:t>
      </w:r>
      <w:r w:rsidR="00EC0823" w:rsidRPr="00EC0823">
        <w:rPr>
          <w:b/>
          <w:sz w:val="22"/>
          <w:szCs w:val="22"/>
          <w:u w:val="single"/>
        </w:rPr>
        <w:t>o</w:t>
      </w:r>
      <w:r w:rsidR="003D2E25">
        <w:rPr>
          <w:b/>
          <w:sz w:val="22"/>
          <w:szCs w:val="22"/>
          <w:u w:val="single"/>
        </w:rPr>
        <w:t xml:space="preserve"> disposto no</w:t>
      </w:r>
      <w:r w:rsidR="00EC0823" w:rsidRPr="00EC0823">
        <w:rPr>
          <w:b/>
          <w:sz w:val="22"/>
          <w:szCs w:val="22"/>
          <w:u w:val="single"/>
        </w:rPr>
        <w:t xml:space="preserve"> inciso I do parágrafo único do artigo 45 do Livro IV do RICMS-RJ/00</w:t>
      </w:r>
      <w:r w:rsidR="003D2E25">
        <w:rPr>
          <w:b/>
          <w:sz w:val="22"/>
          <w:szCs w:val="22"/>
          <w:u w:val="single"/>
        </w:rPr>
        <w:t xml:space="preserve">, </w:t>
      </w:r>
      <w:r w:rsidR="00EC0823" w:rsidRPr="00EC0823">
        <w:rPr>
          <w:b/>
          <w:sz w:val="22"/>
          <w:szCs w:val="22"/>
          <w:u w:val="single"/>
        </w:rPr>
        <w:t xml:space="preserve">“lubrificantes acondicionados em tambores, não destinados </w:t>
      </w:r>
      <w:proofErr w:type="gramStart"/>
      <w:r w:rsidR="00EC0823" w:rsidRPr="00EC0823">
        <w:rPr>
          <w:b/>
          <w:sz w:val="22"/>
          <w:szCs w:val="22"/>
          <w:u w:val="single"/>
        </w:rPr>
        <w:t>a</w:t>
      </w:r>
      <w:proofErr w:type="gramEnd"/>
      <w:r w:rsidR="00EC0823" w:rsidRPr="00EC0823">
        <w:rPr>
          <w:b/>
          <w:sz w:val="22"/>
          <w:szCs w:val="22"/>
          <w:u w:val="single"/>
        </w:rPr>
        <w:t xml:space="preserve"> venda a varejo”</w:t>
      </w:r>
      <w:r w:rsidR="003D2E25">
        <w:rPr>
          <w:b/>
          <w:sz w:val="22"/>
          <w:szCs w:val="22"/>
          <w:u w:val="single"/>
        </w:rPr>
        <w:t>,</w:t>
      </w:r>
      <w:r w:rsidR="00EC0823" w:rsidRPr="00EC0823">
        <w:rPr>
          <w:b/>
          <w:sz w:val="22"/>
          <w:szCs w:val="22"/>
          <w:u w:val="single"/>
        </w:rPr>
        <w:t xml:space="preserve"> </w:t>
      </w:r>
      <w:r w:rsidR="003D2E25">
        <w:rPr>
          <w:b/>
          <w:sz w:val="22"/>
          <w:szCs w:val="22"/>
          <w:u w:val="single"/>
        </w:rPr>
        <w:t>significa</w:t>
      </w:r>
      <w:r w:rsidR="00EC0823" w:rsidRPr="00EC0823">
        <w:rPr>
          <w:b/>
          <w:sz w:val="22"/>
          <w:szCs w:val="22"/>
          <w:u w:val="single"/>
        </w:rPr>
        <w:t xml:space="preserve"> que o lubrificante não poderá ser revendido pelo adquirente</w:t>
      </w:r>
      <w:r w:rsidR="00EC0823">
        <w:rPr>
          <w:sz w:val="22"/>
          <w:szCs w:val="22"/>
        </w:rPr>
        <w:t>.</w:t>
      </w:r>
    </w:p>
    <w:p w:rsidR="00EC0823" w:rsidRDefault="00EC0823" w:rsidP="00C73DA1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Tal norma subsiste para deixar claro que na hipótese de não haver operação subsequente com a mercadoria, não se aplica o regime de substituição tributária</w:t>
      </w:r>
      <w:r w:rsidR="00E053EE">
        <w:rPr>
          <w:sz w:val="22"/>
          <w:szCs w:val="22"/>
        </w:rPr>
        <w:t>. Nesse sentido, na hipótese</w:t>
      </w:r>
      <w:r w:rsidR="003D2E25">
        <w:rPr>
          <w:sz w:val="22"/>
          <w:szCs w:val="22"/>
        </w:rPr>
        <w:t xml:space="preserve"> mencionada</w:t>
      </w:r>
      <w:r w:rsidR="00E053EE">
        <w:rPr>
          <w:sz w:val="22"/>
          <w:szCs w:val="22"/>
        </w:rPr>
        <w:t xml:space="preserve"> os tambores de óleo são vendidos para grandes consumidores que o utilizam como material de uso e consumo (grandes indústrias, empresas de transporte, </w:t>
      </w:r>
      <w:proofErr w:type="spellStart"/>
      <w:r w:rsidR="00E053EE">
        <w:rPr>
          <w:sz w:val="22"/>
          <w:szCs w:val="22"/>
        </w:rPr>
        <w:t>etc</w:t>
      </w:r>
      <w:proofErr w:type="spellEnd"/>
      <w:r w:rsidR="00E053EE">
        <w:rPr>
          <w:sz w:val="22"/>
          <w:szCs w:val="22"/>
        </w:rPr>
        <w:t xml:space="preserve">). </w:t>
      </w:r>
      <w:r w:rsidR="00E053EE" w:rsidRPr="00E053EE">
        <w:rPr>
          <w:b/>
          <w:sz w:val="22"/>
          <w:szCs w:val="22"/>
          <w:u w:val="single"/>
        </w:rPr>
        <w:t>Logo, somente não será devido o ICMS-ST se o óleo não se destinar à comercialização pelo adquirente.</w:t>
      </w:r>
    </w:p>
    <w:p w:rsidR="00C73DA1" w:rsidRDefault="00E053EE" w:rsidP="00663A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3071E2">
        <w:rPr>
          <w:rFonts w:ascii="Times New Roman" w:eastAsia="Times New Roman" w:hAnsi="Times New Roman" w:cs="Times New Roman"/>
          <w:lang w:eastAsia="pt-BR"/>
        </w:rPr>
        <w:t xml:space="preserve"> consulente informa que “</w:t>
      </w:r>
      <w:r w:rsidR="003071E2" w:rsidRPr="003071E2">
        <w:rPr>
          <w:rFonts w:ascii="Times New Roman" w:eastAsia="Times New Roman" w:hAnsi="Times New Roman" w:cs="Times New Roman"/>
          <w:i/>
          <w:lang w:eastAsia="pt-BR"/>
        </w:rPr>
        <w:t xml:space="preserve">não obstante [...] </w:t>
      </w:r>
      <w:r w:rsidR="003071E2">
        <w:rPr>
          <w:rFonts w:ascii="Times New Roman" w:eastAsia="Times New Roman" w:hAnsi="Times New Roman" w:cs="Times New Roman"/>
          <w:i/>
          <w:lang w:eastAsia="pt-BR"/>
        </w:rPr>
        <w:t xml:space="preserve">ainda utilize o </w:t>
      </w:r>
      <w:r w:rsidR="003071E2" w:rsidRPr="003071E2">
        <w:rPr>
          <w:rFonts w:ascii="Times New Roman" w:eastAsia="Times New Roman" w:hAnsi="Times New Roman" w:cs="Times New Roman"/>
          <w:b/>
          <w:i/>
          <w:lang w:eastAsia="pt-BR"/>
        </w:rPr>
        <w:t>tambor</w:t>
      </w:r>
      <w:r w:rsidR="003071E2">
        <w:rPr>
          <w:rFonts w:ascii="Times New Roman" w:eastAsia="Times New Roman" w:hAnsi="Times New Roman" w:cs="Times New Roman"/>
          <w:i/>
          <w:lang w:eastAsia="pt-BR"/>
        </w:rPr>
        <w:t xml:space="preserve"> como meio físico para comercializar o óleo lubrificante básico, a mesma vem </w:t>
      </w:r>
      <w:proofErr w:type="gramStart"/>
      <w:r w:rsidR="003071E2">
        <w:rPr>
          <w:rFonts w:ascii="Times New Roman" w:eastAsia="Times New Roman" w:hAnsi="Times New Roman" w:cs="Times New Roman"/>
          <w:i/>
          <w:lang w:eastAsia="pt-BR"/>
        </w:rPr>
        <w:t>implementando</w:t>
      </w:r>
      <w:proofErr w:type="gramEnd"/>
      <w:r w:rsidR="003071E2">
        <w:rPr>
          <w:rFonts w:ascii="Times New Roman" w:eastAsia="Times New Roman" w:hAnsi="Times New Roman" w:cs="Times New Roman"/>
          <w:i/>
          <w:lang w:eastAsia="pt-BR"/>
        </w:rPr>
        <w:t xml:space="preserve"> o </w:t>
      </w:r>
      <w:r w:rsidR="003071E2">
        <w:rPr>
          <w:rFonts w:ascii="Times New Roman" w:eastAsia="Times New Roman" w:hAnsi="Times New Roman" w:cs="Times New Roman"/>
          <w:b/>
          <w:i/>
          <w:lang w:eastAsia="pt-BR"/>
        </w:rPr>
        <w:t xml:space="preserve">contêiner de 1.000 litros </w:t>
      </w:r>
      <w:r w:rsidR="003071E2">
        <w:rPr>
          <w:rFonts w:ascii="Times New Roman" w:eastAsia="Times New Roman" w:hAnsi="Times New Roman" w:cs="Times New Roman"/>
          <w:i/>
          <w:lang w:eastAsia="pt-BR"/>
        </w:rPr>
        <w:t>como meio de entrega do produto aos seus clientes, revendedores atacadistas</w:t>
      </w:r>
      <w:r w:rsidR="003071E2">
        <w:rPr>
          <w:rFonts w:ascii="Times New Roman" w:eastAsia="Times New Roman" w:hAnsi="Times New Roman" w:cs="Times New Roman"/>
          <w:lang w:eastAsia="pt-BR"/>
        </w:rPr>
        <w:t>”.</w:t>
      </w:r>
    </w:p>
    <w:p w:rsidR="003071E2" w:rsidRDefault="003071E2" w:rsidP="00663A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Dessa forma, </w:t>
      </w:r>
      <w:r w:rsidR="00E74EE1">
        <w:rPr>
          <w:rFonts w:ascii="Times New Roman" w:eastAsia="Times New Roman" w:hAnsi="Times New Roman" w:cs="Times New Roman"/>
          <w:lang w:eastAsia="pt-BR"/>
        </w:rPr>
        <w:t xml:space="preserve">afirma que </w:t>
      </w:r>
      <w:r>
        <w:rPr>
          <w:rFonts w:ascii="Times New Roman" w:eastAsia="Times New Roman" w:hAnsi="Times New Roman" w:cs="Times New Roman"/>
          <w:lang w:eastAsia="pt-BR"/>
        </w:rPr>
        <w:t>“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a Consulta em questão é para ratificar o entendimento da Consulente de que, em que pese </w:t>
      </w:r>
      <w:proofErr w:type="gramStart"/>
      <w:r>
        <w:rPr>
          <w:rFonts w:ascii="Times New Roman" w:eastAsia="Times New Roman" w:hAnsi="Times New Roman" w:cs="Times New Roman"/>
          <w:i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i/>
          <w:lang w:eastAsia="pt-BR"/>
        </w:rPr>
        <w:t xml:space="preserve"> utilização do termo “tambores” pela legislação do Rio de Janeiro, como meio físico de acondicionamento de seus produtos, o disposto no artigo 45, parágrafo único, ‘1’ do Livro IV, Título VIII do RICMS/RJ (Dec. Est. n° 27.427 de 17.11.2000), </w:t>
      </w:r>
      <w:r w:rsidRPr="00E74EE1">
        <w:rPr>
          <w:rFonts w:ascii="Times New Roman" w:eastAsia="Times New Roman" w:hAnsi="Times New Roman" w:cs="Times New Roman"/>
          <w:i/>
          <w:u w:val="single"/>
          <w:lang w:eastAsia="pt-BR"/>
        </w:rPr>
        <w:t>pode ser igualmente aplicado a todo e qualquer recipiente</w:t>
      </w:r>
      <w:r w:rsidR="00E74EE1" w:rsidRPr="00E74EE1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utilizado em idênticas situação fática e finalidade, quais sejam, acomodação do óleo lubrificante em grande volume, o que inclui, por óbvio, os contêineres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="00E74EE1">
        <w:rPr>
          <w:rFonts w:ascii="Times New Roman" w:eastAsia="Times New Roman" w:hAnsi="Times New Roman" w:cs="Times New Roman"/>
          <w:lang w:eastAsia="pt-BR"/>
        </w:rPr>
        <w:t>.</w:t>
      </w:r>
    </w:p>
    <w:p w:rsidR="00E053EE" w:rsidRDefault="00E74EE1" w:rsidP="00663A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Em resposta ao questionamento apresentado, </w:t>
      </w:r>
      <w:r w:rsidRPr="00E74EE1">
        <w:rPr>
          <w:rFonts w:ascii="Times New Roman" w:eastAsia="Times New Roman" w:hAnsi="Times New Roman" w:cs="Times New Roman"/>
          <w:b/>
          <w:u w:val="single"/>
          <w:lang w:eastAsia="pt-BR"/>
        </w:rPr>
        <w:t>entendemos</w:t>
      </w:r>
      <w:r w:rsidR="00E053EE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que está incorreto o entendimento da consulente</w:t>
      </w:r>
      <w:r w:rsidR="007C1AB3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de que nas vendas para seus clientes, revendedores atacadistas, </w:t>
      </w:r>
      <w:r w:rsidR="007C1AB3">
        <w:rPr>
          <w:rFonts w:ascii="Times New Roman" w:eastAsia="Times New Roman" w:hAnsi="Times New Roman" w:cs="Times New Roman"/>
          <w:b/>
          <w:u w:val="single"/>
          <w:lang w:eastAsia="pt-BR"/>
        </w:rPr>
        <w:lastRenderedPageBreak/>
        <w:t xml:space="preserve">aplica-se o disposto no </w:t>
      </w:r>
      <w:r w:rsidR="007C1AB3" w:rsidRPr="007C1AB3">
        <w:rPr>
          <w:rFonts w:ascii="Times New Roman" w:eastAsia="Times New Roman" w:hAnsi="Times New Roman" w:cs="Times New Roman"/>
          <w:b/>
          <w:u w:val="single"/>
          <w:lang w:eastAsia="pt-BR"/>
        </w:rPr>
        <w:t>inciso I do parágrafo único do artigo 45 do Livro IV do RICMS-RJ/00</w:t>
      </w:r>
      <w:r w:rsidR="007C1AB3">
        <w:rPr>
          <w:rFonts w:ascii="Times New Roman" w:eastAsia="Times New Roman" w:hAnsi="Times New Roman" w:cs="Times New Roman"/>
          <w:b/>
          <w:u w:val="single"/>
          <w:lang w:eastAsia="pt-BR"/>
        </w:rPr>
        <w:t>.</w:t>
      </w:r>
      <w:r w:rsidR="00992701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Isso porque o mencionado dispositivo somente se aplica na</w:t>
      </w:r>
      <w:r w:rsidR="00992701" w:rsidRPr="00992701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hipótese de não haver operação subsequente com a mercadoria</w:t>
      </w:r>
      <w:r w:rsidR="00992701">
        <w:rPr>
          <w:rFonts w:ascii="Times New Roman" w:eastAsia="Times New Roman" w:hAnsi="Times New Roman" w:cs="Times New Roman"/>
          <w:b/>
          <w:u w:val="single"/>
          <w:lang w:eastAsia="pt-BR"/>
        </w:rPr>
        <w:t>.</w:t>
      </w:r>
    </w:p>
    <w:p w:rsidR="00E74EE1" w:rsidRDefault="00992701" w:rsidP="0099270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Além disso, informamos que </w:t>
      </w:r>
      <w:r w:rsidR="00E74EE1" w:rsidRPr="00E74EE1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o disposto no </w:t>
      </w:r>
      <w:r w:rsidRPr="007C1AB3">
        <w:rPr>
          <w:rFonts w:ascii="Times New Roman" w:eastAsia="Times New Roman" w:hAnsi="Times New Roman" w:cs="Times New Roman"/>
          <w:b/>
          <w:u w:val="single"/>
          <w:lang w:eastAsia="pt-BR"/>
        </w:rPr>
        <w:t>inciso I do parágrafo único do artigo 45 do Livro IV do RICMS-RJ/00</w:t>
      </w:r>
      <w:r w:rsidR="00E74EE1" w:rsidRPr="00E74EE1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aplica-se</w:t>
      </w:r>
      <w:r>
        <w:rPr>
          <w:rFonts w:ascii="Times New Roman" w:eastAsia="Times New Roman" w:hAnsi="Times New Roman" w:cs="Times New Roman"/>
          <w:b/>
          <w:u w:val="single"/>
          <w:lang w:eastAsia="pt-BR"/>
        </w:rPr>
        <w:t>, por analogia,</w:t>
      </w:r>
      <w:r w:rsidR="00E74EE1" w:rsidRPr="00E74EE1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na hipótese de utilização de contêineres para acondicionar o óleo lubrificante acabado não destinado a venda a varejo</w:t>
      </w:r>
      <w:r w:rsidR="003D2E25">
        <w:rPr>
          <w:rFonts w:ascii="Times New Roman" w:eastAsia="Times New Roman" w:hAnsi="Times New Roman" w:cs="Times New Roman"/>
          <w:b/>
          <w:u w:val="single"/>
          <w:lang w:eastAsia="pt-BR"/>
        </w:rPr>
        <w:t>, ou seja, que não serão revendidos pelo adquirente.</w:t>
      </w:r>
    </w:p>
    <w:p w:rsidR="00C73DA1" w:rsidRDefault="003D2E25" w:rsidP="00663A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Reproduzimos a seguir a norma em comento</w:t>
      </w:r>
      <w:r w:rsidR="00F4694A">
        <w:rPr>
          <w:rFonts w:ascii="Times New Roman" w:eastAsia="Times New Roman" w:hAnsi="Times New Roman" w:cs="Times New Roman"/>
          <w:lang w:eastAsia="pt-BR"/>
        </w:rPr>
        <w:t>:</w:t>
      </w:r>
    </w:p>
    <w:p w:rsidR="00C25ABB" w:rsidRPr="003D2E25" w:rsidRDefault="00C25ABB" w:rsidP="00663A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8"/>
          <w:lang w:eastAsia="pt-BR"/>
        </w:rPr>
      </w:pPr>
    </w:p>
    <w:p w:rsidR="00F4694A" w:rsidRPr="00F4694A" w:rsidRDefault="00F4694A" w:rsidP="00F4694A">
      <w:pPr>
        <w:spacing w:after="0" w:line="240" w:lineRule="auto"/>
        <w:ind w:left="1560" w:right="850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t-BR"/>
        </w:rPr>
      </w:pPr>
      <w:r w:rsidRPr="00F4694A">
        <w:rPr>
          <w:rFonts w:ascii="Times New Roman" w:eastAsia="Times New Roman" w:hAnsi="Times New Roman" w:cs="Times New Roman"/>
          <w:b/>
          <w:sz w:val="20"/>
          <w:u w:val="single"/>
          <w:lang w:eastAsia="pt-BR"/>
        </w:rPr>
        <w:t>Livro IV do RICMS-RJ/00:</w:t>
      </w:r>
    </w:p>
    <w:p w:rsidR="00F4694A" w:rsidRPr="00F4694A" w:rsidRDefault="00F4694A" w:rsidP="00F4694A">
      <w:pPr>
        <w:spacing w:after="0" w:line="240" w:lineRule="auto"/>
        <w:ind w:left="1560" w:right="850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F4694A">
        <w:rPr>
          <w:rFonts w:ascii="Times New Roman" w:eastAsia="Times New Roman" w:hAnsi="Times New Roman" w:cs="Times New Roman"/>
          <w:sz w:val="20"/>
          <w:lang w:eastAsia="pt-BR"/>
        </w:rPr>
        <w:t>Art. 45. A responsabilidade pela retenção do imposto relativo às operações subsequentes com óleo lubrificante acabado é atribuída ao fabricante deste produto.</w:t>
      </w:r>
    </w:p>
    <w:p w:rsidR="00F4694A" w:rsidRPr="00F4694A" w:rsidRDefault="00F4694A" w:rsidP="00F4694A">
      <w:pPr>
        <w:spacing w:after="0" w:line="240" w:lineRule="auto"/>
        <w:ind w:left="1560" w:right="850"/>
        <w:jc w:val="both"/>
        <w:rPr>
          <w:rFonts w:ascii="Times New Roman" w:eastAsia="Times New Roman" w:hAnsi="Times New Roman" w:cs="Times New Roman"/>
          <w:sz w:val="20"/>
          <w:lang w:eastAsia="pt-BR"/>
        </w:rPr>
      </w:pPr>
    </w:p>
    <w:p w:rsidR="00F4694A" w:rsidRPr="00F4694A" w:rsidRDefault="00F4694A" w:rsidP="00F4694A">
      <w:pPr>
        <w:spacing w:after="0" w:line="240" w:lineRule="auto"/>
        <w:ind w:left="1560" w:right="850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F4694A">
        <w:rPr>
          <w:rFonts w:ascii="Times New Roman" w:eastAsia="Times New Roman" w:hAnsi="Times New Roman" w:cs="Times New Roman"/>
          <w:sz w:val="20"/>
          <w:lang w:eastAsia="pt-BR"/>
        </w:rPr>
        <w:t>Parágrafo único - A substituição tributária de que trata este artigo não se aplica às operações:</w:t>
      </w:r>
    </w:p>
    <w:p w:rsidR="00F4694A" w:rsidRPr="00F4694A" w:rsidRDefault="00F4694A" w:rsidP="00F4694A">
      <w:pPr>
        <w:spacing w:after="0" w:line="240" w:lineRule="auto"/>
        <w:ind w:left="1560" w:right="850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F4694A">
        <w:rPr>
          <w:rFonts w:ascii="Times New Roman" w:eastAsia="Times New Roman" w:hAnsi="Times New Roman" w:cs="Times New Roman"/>
          <w:sz w:val="20"/>
          <w:lang w:eastAsia="pt-BR"/>
        </w:rPr>
        <w:t>I - com lubrificantes acondicionados em tambores, não destinados a venda a varejo;</w:t>
      </w:r>
    </w:p>
    <w:p w:rsidR="00F4694A" w:rsidRPr="00F4694A" w:rsidRDefault="00F4694A" w:rsidP="00F4694A">
      <w:pPr>
        <w:spacing w:after="0" w:line="240" w:lineRule="auto"/>
        <w:ind w:left="1560" w:right="850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F4694A">
        <w:rPr>
          <w:rFonts w:ascii="Times New Roman" w:eastAsia="Times New Roman" w:hAnsi="Times New Roman" w:cs="Times New Roman"/>
          <w:sz w:val="20"/>
          <w:lang w:eastAsia="pt-BR"/>
        </w:rPr>
        <w:t xml:space="preserve">II - entre o fabricante e a distribuidora de derivados de petróleo e dos demais </w:t>
      </w:r>
      <w:proofErr w:type="gramStart"/>
      <w:r w:rsidRPr="00F4694A">
        <w:rPr>
          <w:rFonts w:ascii="Times New Roman" w:eastAsia="Times New Roman" w:hAnsi="Times New Roman" w:cs="Times New Roman"/>
          <w:sz w:val="20"/>
          <w:lang w:eastAsia="pt-BR"/>
        </w:rPr>
        <w:t>lubrificantes, como tal definida</w:t>
      </w:r>
      <w:proofErr w:type="gramEnd"/>
      <w:r w:rsidRPr="00F4694A">
        <w:rPr>
          <w:rFonts w:ascii="Times New Roman" w:eastAsia="Times New Roman" w:hAnsi="Times New Roman" w:cs="Times New Roman"/>
          <w:sz w:val="20"/>
          <w:lang w:eastAsia="pt-BR"/>
        </w:rPr>
        <w:t xml:space="preserve"> por órgão federal competente, cabendo a responsabilidade pela retenção ao estabelecimento que destinar o produto para qualquer outro.</w:t>
      </w:r>
    </w:p>
    <w:p w:rsidR="00C73DA1" w:rsidRDefault="00C73DA1" w:rsidP="00663A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</w:p>
    <w:p w:rsidR="00225250" w:rsidRDefault="00225250" w:rsidP="0022525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 xml:space="preserve">III – </w:t>
      </w:r>
      <w:r>
        <w:rPr>
          <w:rFonts w:ascii="Times New Roman" w:hAnsi="Times New Roman" w:cs="Times New Roman"/>
          <w:b/>
        </w:rPr>
        <w:t>RESPOSTA</w:t>
      </w:r>
    </w:p>
    <w:p w:rsidR="00225250" w:rsidRPr="006F06F0" w:rsidRDefault="00225250" w:rsidP="0022525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</w:p>
    <w:p w:rsidR="00225250" w:rsidRPr="00C524B8" w:rsidRDefault="00225250" w:rsidP="00225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</w:rPr>
      </w:pPr>
    </w:p>
    <w:p w:rsidR="003D2E25" w:rsidRDefault="00225250" w:rsidP="003D2E2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>
        <w:rPr>
          <w:rFonts w:ascii="Times New Roman" w:hAnsi="Times New Roman" w:cs="Times New Roman"/>
        </w:rPr>
        <w:t>Considerando o exposto</w:t>
      </w:r>
      <w:r w:rsidRPr="006865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D2E25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está incorreto o entendimento da consulente de que nas vendas para seus clientes, revendedores atacadistas, aplica-se o disposto no </w:t>
      </w:r>
      <w:r w:rsidR="003D2E25" w:rsidRPr="007C1AB3">
        <w:rPr>
          <w:rFonts w:ascii="Times New Roman" w:eastAsia="Times New Roman" w:hAnsi="Times New Roman" w:cs="Times New Roman"/>
          <w:b/>
          <w:u w:val="single"/>
          <w:lang w:eastAsia="pt-BR"/>
        </w:rPr>
        <w:t>inciso I do parágrafo único do artigo 45 do Livro IV do RICMS-RJ/00</w:t>
      </w:r>
      <w:r w:rsidR="003D2E25">
        <w:rPr>
          <w:rFonts w:ascii="Times New Roman" w:eastAsia="Times New Roman" w:hAnsi="Times New Roman" w:cs="Times New Roman"/>
          <w:b/>
          <w:u w:val="single"/>
          <w:lang w:eastAsia="pt-BR"/>
        </w:rPr>
        <w:t>. Isso porque o mencionado dispositivo somente se aplica na</w:t>
      </w:r>
      <w:r w:rsidR="003D2E25" w:rsidRPr="00992701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hipótese de não haver operação subsequente com a mercadoria</w:t>
      </w:r>
      <w:r w:rsidR="003D2E25">
        <w:rPr>
          <w:rFonts w:ascii="Times New Roman" w:eastAsia="Times New Roman" w:hAnsi="Times New Roman" w:cs="Times New Roman"/>
          <w:b/>
          <w:u w:val="single"/>
          <w:lang w:eastAsia="pt-BR"/>
        </w:rPr>
        <w:t>.</w:t>
      </w:r>
    </w:p>
    <w:p w:rsidR="003D2E25" w:rsidRDefault="003D2E25" w:rsidP="003D2E2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Além disso, informamos que </w:t>
      </w:r>
      <w:r w:rsidRPr="00E74EE1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o disposto no </w:t>
      </w:r>
      <w:r w:rsidRPr="007C1AB3">
        <w:rPr>
          <w:rFonts w:ascii="Times New Roman" w:eastAsia="Times New Roman" w:hAnsi="Times New Roman" w:cs="Times New Roman"/>
          <w:b/>
          <w:u w:val="single"/>
          <w:lang w:eastAsia="pt-BR"/>
        </w:rPr>
        <w:t>inciso I do parágrafo único do artigo 45 do Livro IV do RICMS-RJ/00</w:t>
      </w:r>
      <w:r w:rsidRPr="00E74EE1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aplica-se</w:t>
      </w:r>
      <w:r>
        <w:rPr>
          <w:rFonts w:ascii="Times New Roman" w:eastAsia="Times New Roman" w:hAnsi="Times New Roman" w:cs="Times New Roman"/>
          <w:b/>
          <w:u w:val="single"/>
          <w:lang w:eastAsia="pt-BR"/>
        </w:rPr>
        <w:t>, por analogia,</w:t>
      </w:r>
      <w:r w:rsidRPr="00E74EE1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na hipótese de utilização de contêineres para acondicionar o óleo lubrificante acabado não destinado a venda a varejo</w:t>
      </w:r>
      <w:r>
        <w:rPr>
          <w:rFonts w:ascii="Times New Roman" w:eastAsia="Times New Roman" w:hAnsi="Times New Roman" w:cs="Times New Roman"/>
          <w:b/>
          <w:u w:val="single"/>
          <w:lang w:eastAsia="pt-BR"/>
        </w:rPr>
        <w:t>, ou seja, que não serão revendidos pelo adquirente.</w:t>
      </w:r>
    </w:p>
    <w:p w:rsidR="00225250" w:rsidRPr="00C25ABB" w:rsidRDefault="00C25ABB" w:rsidP="00C25ABB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C25ABB">
        <w:rPr>
          <w:sz w:val="22"/>
          <w:szCs w:val="22"/>
        </w:rPr>
        <w:t xml:space="preserve">Repise-se que </w:t>
      </w:r>
      <w:r>
        <w:rPr>
          <w:sz w:val="22"/>
          <w:szCs w:val="22"/>
        </w:rPr>
        <w:t xml:space="preserve">esta resposta de consulta somente produzirá os efeitos que lhe são próprios na hipótese, a ser verificada pela IFE 04 antes da ciência ao contribuinte desta resposta de consulta, de que não haja </w:t>
      </w:r>
      <w:r w:rsidRPr="00C73DA1">
        <w:rPr>
          <w:sz w:val="22"/>
          <w:szCs w:val="22"/>
        </w:rPr>
        <w:t xml:space="preserve">autuação, ainda pendente de decisão final, cujo fundamento esteja direta ou indiretamente relacionado às dúvidas </w:t>
      </w:r>
      <w:r>
        <w:rPr>
          <w:sz w:val="22"/>
          <w:szCs w:val="22"/>
        </w:rPr>
        <w:t>apresentadas.</w:t>
      </w:r>
    </w:p>
    <w:p w:rsidR="00225250" w:rsidRDefault="00225250" w:rsidP="0022525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686534">
        <w:rPr>
          <w:rFonts w:ascii="Times New Roman" w:hAnsi="Times New Roman" w:cs="Times New Roman"/>
        </w:rPr>
        <w:lastRenderedPageBreak/>
        <w:t>Fique a consulente ciente de que esta consulta perderá automaticamente a sua eficácia normativa em caso de mudança de entendimento por parte da Administração Tributária</w:t>
      </w:r>
      <w:proofErr w:type="gramStart"/>
      <w:r w:rsidRPr="00686534">
        <w:rPr>
          <w:rFonts w:ascii="Times New Roman" w:hAnsi="Times New Roman" w:cs="Times New Roman"/>
        </w:rPr>
        <w:t xml:space="preserve"> ou seja</w:t>
      </w:r>
      <w:proofErr w:type="gramEnd"/>
      <w:r w:rsidRPr="00686534">
        <w:rPr>
          <w:rFonts w:ascii="Times New Roman" w:hAnsi="Times New Roman" w:cs="Times New Roman"/>
        </w:rPr>
        <w:t xml:space="preserve"> editada norma superveniente dispondo de forma contrária.</w:t>
      </w:r>
    </w:p>
    <w:p w:rsidR="00544697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4A46B7">
        <w:rPr>
          <w:rFonts w:ascii="Times New Roman" w:hAnsi="Times New Roman" w:cs="Times New Roman"/>
        </w:rPr>
        <w:t xml:space="preserve"> </w:t>
      </w:r>
      <w:proofErr w:type="gramStart"/>
      <w:r w:rsidR="00C25ABB">
        <w:rPr>
          <w:rFonts w:ascii="Times New Roman" w:hAnsi="Times New Roman" w:cs="Times New Roman"/>
        </w:rPr>
        <w:t>2</w:t>
      </w:r>
      <w:proofErr w:type="gramEnd"/>
      <w:r w:rsidR="00544697">
        <w:rPr>
          <w:rFonts w:ascii="Times New Roman" w:hAnsi="Times New Roman" w:cs="Times New Roman"/>
        </w:rPr>
        <w:t xml:space="preserve"> de </w:t>
      </w:r>
      <w:r w:rsidR="00C25ABB">
        <w:rPr>
          <w:rFonts w:ascii="Times New Roman" w:hAnsi="Times New Roman" w:cs="Times New Roman"/>
        </w:rPr>
        <w:t>junh</w:t>
      </w:r>
      <w:r w:rsidR="003D5849">
        <w:rPr>
          <w:rFonts w:ascii="Times New Roman" w:hAnsi="Times New Roman" w:cs="Times New Roman"/>
        </w:rPr>
        <w:t>o</w:t>
      </w:r>
      <w:r w:rsidR="004A46B7">
        <w:rPr>
          <w:rFonts w:ascii="Times New Roman" w:hAnsi="Times New Roman" w:cs="Times New Roman"/>
        </w:rPr>
        <w:t xml:space="preserve"> de 2016</w:t>
      </w:r>
      <w:r w:rsidR="00544697">
        <w:rPr>
          <w:rFonts w:ascii="Times New Roman" w:hAnsi="Times New Roman" w:cs="Times New Roman"/>
        </w:rPr>
        <w:t>.</w:t>
      </w:r>
    </w:p>
    <w:p w:rsidR="00455FAC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296DAB" w:rsidRPr="006F06F0" w:rsidRDefault="00296DAB" w:rsidP="00C14A8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</w:p>
    <w:sectPr w:rsidR="00296DAB" w:rsidRPr="006F06F0" w:rsidSect="00412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39" w:rsidRDefault="00586639" w:rsidP="00546EC0">
      <w:pPr>
        <w:spacing w:after="0" w:line="240" w:lineRule="auto"/>
      </w:pPr>
      <w:r>
        <w:separator/>
      </w:r>
    </w:p>
  </w:endnote>
  <w:endnote w:type="continuationSeparator" w:id="0">
    <w:p w:rsidR="00586639" w:rsidRDefault="00586639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E8" w:rsidRDefault="002E65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E8" w:rsidRDefault="002E65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E8" w:rsidRDefault="002E65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39" w:rsidRDefault="00586639" w:rsidP="00546EC0">
      <w:pPr>
        <w:spacing w:after="0" w:line="240" w:lineRule="auto"/>
      </w:pPr>
      <w:r>
        <w:separator/>
      </w:r>
    </w:p>
  </w:footnote>
  <w:footnote w:type="continuationSeparator" w:id="0">
    <w:p w:rsidR="00586639" w:rsidRDefault="00586639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E8" w:rsidRDefault="002E65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38610AB3" wp14:editId="7DE43743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EC272E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EC272E" w:rsidRPr="002E7B20" w:rsidRDefault="00EC272E" w:rsidP="00EC272E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2236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EC272E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14CC5">
                  <w:rPr>
                    <w:rFonts w:ascii="Times New Roman" w:hAnsi="Times New Roman"/>
                    <w:sz w:val="20"/>
                  </w:rPr>
                  <w:t>1</w:t>
                </w:r>
                <w:r w:rsidR="00EC272E">
                  <w:rPr>
                    <w:rFonts w:ascii="Times New Roman" w:hAnsi="Times New Roman"/>
                    <w:sz w:val="20"/>
                  </w:rPr>
                  <w:t>3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314CC5">
                  <w:rPr>
                    <w:rFonts w:ascii="Times New Roman" w:hAnsi="Times New Roman"/>
                    <w:sz w:val="20"/>
                  </w:rPr>
                  <w:t>0</w:t>
                </w:r>
                <w:r w:rsidR="00EC272E">
                  <w:rPr>
                    <w:rFonts w:ascii="Times New Roman" w:hAnsi="Times New Roman"/>
                    <w:sz w:val="20"/>
                  </w:rPr>
                  <w:t>4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E253A2">
                  <w:rPr>
                    <w:rFonts w:ascii="Times New Roman" w:hAnsi="Times New Roman"/>
                    <w:sz w:val="20"/>
                  </w:rPr>
                  <w:t>201</w:t>
                </w:r>
                <w:r w:rsidR="00314CC5">
                  <w:rPr>
                    <w:rFonts w:ascii="Times New Roman" w:hAnsi="Times New Roman"/>
                    <w:sz w:val="20"/>
                  </w:rPr>
                  <w:t>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C07EE6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C07EE6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2E65E8">
                  <w:rPr>
                    <w:rFonts w:ascii="Times New Roman" w:hAnsi="Times New Roman"/>
                    <w:noProof/>
                    <w:sz w:val="20"/>
                  </w:rPr>
                  <w:t>4</w:t>
                </w:r>
                <w:r w:rsidR="00C07EE6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E8" w:rsidRDefault="002E6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DE36FE"/>
    <w:multiLevelType w:val="hybridMultilevel"/>
    <w:tmpl w:val="28E41C32"/>
    <w:lvl w:ilvl="0" w:tplc="E4A2D746">
      <w:start w:val="1"/>
      <w:numFmt w:val="lowerLetter"/>
      <w:lvlText w:val="%1)"/>
      <w:lvlJc w:val="left"/>
      <w:pPr>
        <w:ind w:left="1639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2389A"/>
    <w:rsid w:val="0004321D"/>
    <w:rsid w:val="00063B9F"/>
    <w:rsid w:val="0008336D"/>
    <w:rsid w:val="00084116"/>
    <w:rsid w:val="000C115B"/>
    <w:rsid w:val="000C2495"/>
    <w:rsid w:val="000D6F55"/>
    <w:rsid w:val="000F30B1"/>
    <w:rsid w:val="000F4FB2"/>
    <w:rsid w:val="000F63EE"/>
    <w:rsid w:val="0014427E"/>
    <w:rsid w:val="0014555C"/>
    <w:rsid w:val="001572FF"/>
    <w:rsid w:val="00157300"/>
    <w:rsid w:val="00166FDB"/>
    <w:rsid w:val="001760E5"/>
    <w:rsid w:val="001A0157"/>
    <w:rsid w:val="001C5BD8"/>
    <w:rsid w:val="001C7B3E"/>
    <w:rsid w:val="001E4F56"/>
    <w:rsid w:val="001F309B"/>
    <w:rsid w:val="001F3F43"/>
    <w:rsid w:val="001F7132"/>
    <w:rsid w:val="00210225"/>
    <w:rsid w:val="002124DC"/>
    <w:rsid w:val="00216AA2"/>
    <w:rsid w:val="00222C49"/>
    <w:rsid w:val="00225250"/>
    <w:rsid w:val="002436D8"/>
    <w:rsid w:val="00251988"/>
    <w:rsid w:val="00253080"/>
    <w:rsid w:val="00264B3C"/>
    <w:rsid w:val="00265632"/>
    <w:rsid w:val="002827AA"/>
    <w:rsid w:val="0028490E"/>
    <w:rsid w:val="00286428"/>
    <w:rsid w:val="00296DAB"/>
    <w:rsid w:val="002B25A7"/>
    <w:rsid w:val="002C092A"/>
    <w:rsid w:val="002C2F26"/>
    <w:rsid w:val="002E65E8"/>
    <w:rsid w:val="002F5AAC"/>
    <w:rsid w:val="00300997"/>
    <w:rsid w:val="003071E2"/>
    <w:rsid w:val="00307D59"/>
    <w:rsid w:val="00314CC5"/>
    <w:rsid w:val="003453A9"/>
    <w:rsid w:val="0035322A"/>
    <w:rsid w:val="00355B36"/>
    <w:rsid w:val="00360C1E"/>
    <w:rsid w:val="0036656D"/>
    <w:rsid w:val="003670F1"/>
    <w:rsid w:val="00367604"/>
    <w:rsid w:val="00370985"/>
    <w:rsid w:val="003716F0"/>
    <w:rsid w:val="00376A58"/>
    <w:rsid w:val="0038321B"/>
    <w:rsid w:val="00386DBE"/>
    <w:rsid w:val="003C23BB"/>
    <w:rsid w:val="003C3FF2"/>
    <w:rsid w:val="003D2E25"/>
    <w:rsid w:val="003D5849"/>
    <w:rsid w:val="003D672A"/>
    <w:rsid w:val="003E2C18"/>
    <w:rsid w:val="003E5502"/>
    <w:rsid w:val="003E5ED9"/>
    <w:rsid w:val="00411549"/>
    <w:rsid w:val="00412522"/>
    <w:rsid w:val="004136EA"/>
    <w:rsid w:val="00423EF2"/>
    <w:rsid w:val="004241D0"/>
    <w:rsid w:val="00455FAC"/>
    <w:rsid w:val="00462AC3"/>
    <w:rsid w:val="00464744"/>
    <w:rsid w:val="00480304"/>
    <w:rsid w:val="00481E33"/>
    <w:rsid w:val="00481F61"/>
    <w:rsid w:val="00482C57"/>
    <w:rsid w:val="00483017"/>
    <w:rsid w:val="004A02C8"/>
    <w:rsid w:val="004A46B7"/>
    <w:rsid w:val="004C09C0"/>
    <w:rsid w:val="004C1EB5"/>
    <w:rsid w:val="004D3BD9"/>
    <w:rsid w:val="004E2759"/>
    <w:rsid w:val="005220FC"/>
    <w:rsid w:val="005235FB"/>
    <w:rsid w:val="005333BB"/>
    <w:rsid w:val="00542EA5"/>
    <w:rsid w:val="00544697"/>
    <w:rsid w:val="00546EC0"/>
    <w:rsid w:val="00550786"/>
    <w:rsid w:val="00555312"/>
    <w:rsid w:val="005578E8"/>
    <w:rsid w:val="00557D40"/>
    <w:rsid w:val="005707CA"/>
    <w:rsid w:val="0058434E"/>
    <w:rsid w:val="00584587"/>
    <w:rsid w:val="005860DD"/>
    <w:rsid w:val="00586639"/>
    <w:rsid w:val="005A37D1"/>
    <w:rsid w:val="005A535E"/>
    <w:rsid w:val="005A6F87"/>
    <w:rsid w:val="005B395F"/>
    <w:rsid w:val="005C5FC9"/>
    <w:rsid w:val="005D2324"/>
    <w:rsid w:val="005E14DA"/>
    <w:rsid w:val="005E7A38"/>
    <w:rsid w:val="005F26B5"/>
    <w:rsid w:val="005F47B6"/>
    <w:rsid w:val="005F55C3"/>
    <w:rsid w:val="00602B62"/>
    <w:rsid w:val="0065393E"/>
    <w:rsid w:val="00654C1A"/>
    <w:rsid w:val="00663280"/>
    <w:rsid w:val="006637B6"/>
    <w:rsid w:val="00663AEB"/>
    <w:rsid w:val="0066751B"/>
    <w:rsid w:val="006A2586"/>
    <w:rsid w:val="006A270F"/>
    <w:rsid w:val="006A3E5C"/>
    <w:rsid w:val="006B0166"/>
    <w:rsid w:val="006B1F43"/>
    <w:rsid w:val="006B2042"/>
    <w:rsid w:val="006E73A4"/>
    <w:rsid w:val="006F06F0"/>
    <w:rsid w:val="006F7509"/>
    <w:rsid w:val="00726138"/>
    <w:rsid w:val="0073148A"/>
    <w:rsid w:val="0074027D"/>
    <w:rsid w:val="0075364B"/>
    <w:rsid w:val="007637EC"/>
    <w:rsid w:val="00773AC1"/>
    <w:rsid w:val="00784FE7"/>
    <w:rsid w:val="007A3336"/>
    <w:rsid w:val="007A59E8"/>
    <w:rsid w:val="007C1AB3"/>
    <w:rsid w:val="007E33A3"/>
    <w:rsid w:val="00805A34"/>
    <w:rsid w:val="00807F4B"/>
    <w:rsid w:val="008107BD"/>
    <w:rsid w:val="00820383"/>
    <w:rsid w:val="00820B31"/>
    <w:rsid w:val="00821B5B"/>
    <w:rsid w:val="00825D6E"/>
    <w:rsid w:val="00827ABA"/>
    <w:rsid w:val="00844E38"/>
    <w:rsid w:val="008505C6"/>
    <w:rsid w:val="00870982"/>
    <w:rsid w:val="0089032B"/>
    <w:rsid w:val="008B1203"/>
    <w:rsid w:val="008B1870"/>
    <w:rsid w:val="008B2817"/>
    <w:rsid w:val="008C5BDE"/>
    <w:rsid w:val="008D0CD7"/>
    <w:rsid w:val="008D4306"/>
    <w:rsid w:val="008F0285"/>
    <w:rsid w:val="008F3D1E"/>
    <w:rsid w:val="008F716D"/>
    <w:rsid w:val="009114C8"/>
    <w:rsid w:val="0093290E"/>
    <w:rsid w:val="00934E4E"/>
    <w:rsid w:val="00951E1D"/>
    <w:rsid w:val="00987CE9"/>
    <w:rsid w:val="00992701"/>
    <w:rsid w:val="00994540"/>
    <w:rsid w:val="009A4E8D"/>
    <w:rsid w:val="009C2B3E"/>
    <w:rsid w:val="009C52C7"/>
    <w:rsid w:val="009D1501"/>
    <w:rsid w:val="009E2E6B"/>
    <w:rsid w:val="009F6AAA"/>
    <w:rsid w:val="009F7DF5"/>
    <w:rsid w:val="00A054C6"/>
    <w:rsid w:val="00A27902"/>
    <w:rsid w:val="00A30CE6"/>
    <w:rsid w:val="00A364D8"/>
    <w:rsid w:val="00A434AD"/>
    <w:rsid w:val="00A617F9"/>
    <w:rsid w:val="00A650EC"/>
    <w:rsid w:val="00A73790"/>
    <w:rsid w:val="00A73B7E"/>
    <w:rsid w:val="00A75A0C"/>
    <w:rsid w:val="00AD3421"/>
    <w:rsid w:val="00AD363A"/>
    <w:rsid w:val="00AD3B79"/>
    <w:rsid w:val="00AE3CDB"/>
    <w:rsid w:val="00B042C1"/>
    <w:rsid w:val="00B17EFE"/>
    <w:rsid w:val="00B27C17"/>
    <w:rsid w:val="00B4364F"/>
    <w:rsid w:val="00B44136"/>
    <w:rsid w:val="00B45593"/>
    <w:rsid w:val="00B5604B"/>
    <w:rsid w:val="00B6462F"/>
    <w:rsid w:val="00B9235C"/>
    <w:rsid w:val="00B9491F"/>
    <w:rsid w:val="00B95528"/>
    <w:rsid w:val="00B960E7"/>
    <w:rsid w:val="00B96A9A"/>
    <w:rsid w:val="00BA75E4"/>
    <w:rsid w:val="00BC215E"/>
    <w:rsid w:val="00BE0E93"/>
    <w:rsid w:val="00BE4302"/>
    <w:rsid w:val="00BE4E42"/>
    <w:rsid w:val="00BE69F9"/>
    <w:rsid w:val="00BF0C36"/>
    <w:rsid w:val="00BF4B3C"/>
    <w:rsid w:val="00C0527F"/>
    <w:rsid w:val="00C07EE6"/>
    <w:rsid w:val="00C14A84"/>
    <w:rsid w:val="00C156F7"/>
    <w:rsid w:val="00C225D1"/>
    <w:rsid w:val="00C227A4"/>
    <w:rsid w:val="00C25ABB"/>
    <w:rsid w:val="00C266EE"/>
    <w:rsid w:val="00C475BC"/>
    <w:rsid w:val="00C50939"/>
    <w:rsid w:val="00C660AA"/>
    <w:rsid w:val="00C73DA1"/>
    <w:rsid w:val="00C84107"/>
    <w:rsid w:val="00C90806"/>
    <w:rsid w:val="00CA5CAF"/>
    <w:rsid w:val="00CB230E"/>
    <w:rsid w:val="00CB482A"/>
    <w:rsid w:val="00CD222C"/>
    <w:rsid w:val="00CD24BB"/>
    <w:rsid w:val="00CE0017"/>
    <w:rsid w:val="00CE2D21"/>
    <w:rsid w:val="00CE468D"/>
    <w:rsid w:val="00CF3460"/>
    <w:rsid w:val="00D13A70"/>
    <w:rsid w:val="00D32712"/>
    <w:rsid w:val="00D53045"/>
    <w:rsid w:val="00D61C0F"/>
    <w:rsid w:val="00D61D25"/>
    <w:rsid w:val="00D61FED"/>
    <w:rsid w:val="00D6210A"/>
    <w:rsid w:val="00D66A0B"/>
    <w:rsid w:val="00D76FEA"/>
    <w:rsid w:val="00D857DD"/>
    <w:rsid w:val="00D910B7"/>
    <w:rsid w:val="00D92DE8"/>
    <w:rsid w:val="00D94623"/>
    <w:rsid w:val="00DB42A9"/>
    <w:rsid w:val="00DD1ACA"/>
    <w:rsid w:val="00DF4268"/>
    <w:rsid w:val="00DF7D22"/>
    <w:rsid w:val="00E01F2A"/>
    <w:rsid w:val="00E053EE"/>
    <w:rsid w:val="00E11B24"/>
    <w:rsid w:val="00E16598"/>
    <w:rsid w:val="00E21488"/>
    <w:rsid w:val="00E253A2"/>
    <w:rsid w:val="00E4634E"/>
    <w:rsid w:val="00E56B5C"/>
    <w:rsid w:val="00E6697C"/>
    <w:rsid w:val="00E74EE1"/>
    <w:rsid w:val="00E7570E"/>
    <w:rsid w:val="00EB10C1"/>
    <w:rsid w:val="00EC0823"/>
    <w:rsid w:val="00EC272E"/>
    <w:rsid w:val="00EC6B66"/>
    <w:rsid w:val="00ED11CA"/>
    <w:rsid w:val="00ED5C7B"/>
    <w:rsid w:val="00EE3A31"/>
    <w:rsid w:val="00F00586"/>
    <w:rsid w:val="00F00CAB"/>
    <w:rsid w:val="00F13D78"/>
    <w:rsid w:val="00F15CFA"/>
    <w:rsid w:val="00F4247D"/>
    <w:rsid w:val="00F42B37"/>
    <w:rsid w:val="00F43CA6"/>
    <w:rsid w:val="00F43F36"/>
    <w:rsid w:val="00F4694A"/>
    <w:rsid w:val="00F616AF"/>
    <w:rsid w:val="00F644C2"/>
    <w:rsid w:val="00F6473B"/>
    <w:rsid w:val="00F71664"/>
    <w:rsid w:val="00F73AEB"/>
    <w:rsid w:val="00F81ECB"/>
    <w:rsid w:val="00F85829"/>
    <w:rsid w:val="00F964D2"/>
    <w:rsid w:val="00F968E2"/>
    <w:rsid w:val="00FA1604"/>
    <w:rsid w:val="00FB5812"/>
    <w:rsid w:val="00FD3260"/>
    <w:rsid w:val="00FE2C74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6E7F-D8A0-4C38-9C0D-F86C3849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2015-07-22T21:00:00Z</cp:lastPrinted>
  <dcterms:created xsi:type="dcterms:W3CDTF">2016-06-30T18:31:00Z</dcterms:created>
  <dcterms:modified xsi:type="dcterms:W3CDTF">2016-06-30T21:38:00Z</dcterms:modified>
</cp:coreProperties>
</file>