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7655"/>
      </w:tblGrid>
      <w:tr w:rsidR="001F7132" w:rsidRPr="006F06F0" w:rsidTr="00E01F2A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F7132" w:rsidRPr="006F06F0" w:rsidRDefault="001F7132" w:rsidP="00E01F2A">
            <w:pPr>
              <w:pStyle w:val="Ttulo2"/>
              <w:ind w:right="-852"/>
              <w:rPr>
                <w:rFonts w:ascii="Times New Roman" w:hAnsi="Times New Roman"/>
                <w:szCs w:val="22"/>
              </w:rPr>
            </w:pPr>
            <w:bookmarkStart w:id="0" w:name="_GoBack"/>
            <w:bookmarkEnd w:id="0"/>
            <w:r w:rsidRPr="006F06F0">
              <w:rPr>
                <w:rFonts w:ascii="Times New Roman" w:hAnsi="Times New Roman"/>
                <w:szCs w:val="22"/>
              </w:rPr>
              <w:t>Assunto: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F7132" w:rsidRPr="006F06F0" w:rsidRDefault="00E01F2A" w:rsidP="00E01F2A">
            <w:pPr>
              <w:spacing w:after="0"/>
              <w:ind w:left="-169" w:right="-366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1F7132" w:rsidRPr="006F06F0" w:rsidRDefault="00B66AD1" w:rsidP="00FC5883">
            <w:pPr>
              <w:pStyle w:val="Ttulo2"/>
              <w:ind w:right="72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Simples Nacional</w:t>
            </w:r>
            <w:r w:rsidR="00A43EB3">
              <w:rPr>
                <w:rFonts w:ascii="Times New Roman" w:hAnsi="Times New Roman"/>
                <w:szCs w:val="22"/>
              </w:rPr>
              <w:t xml:space="preserve">. </w:t>
            </w:r>
            <w:r w:rsidR="00FC5883">
              <w:rPr>
                <w:rFonts w:ascii="Times New Roman" w:hAnsi="Times New Roman"/>
                <w:szCs w:val="22"/>
              </w:rPr>
              <w:t xml:space="preserve">Ingresso: </w:t>
            </w:r>
            <w:r w:rsidR="00A43EB3">
              <w:rPr>
                <w:rFonts w:ascii="Times New Roman" w:hAnsi="Times New Roman"/>
                <w:szCs w:val="22"/>
              </w:rPr>
              <w:t>Estorno do Saldo Credor</w:t>
            </w:r>
            <w:r w:rsidR="00FC5883">
              <w:rPr>
                <w:rFonts w:ascii="Times New Roman" w:hAnsi="Times New Roman"/>
                <w:szCs w:val="22"/>
              </w:rPr>
              <w:t xml:space="preserve">. </w:t>
            </w:r>
            <w:r w:rsidR="00AA095E">
              <w:rPr>
                <w:rFonts w:ascii="Times New Roman" w:hAnsi="Times New Roman"/>
                <w:szCs w:val="22"/>
              </w:rPr>
              <w:t xml:space="preserve">Possibilidade de </w:t>
            </w:r>
            <w:r w:rsidR="00FC5883">
              <w:rPr>
                <w:rFonts w:ascii="Times New Roman" w:hAnsi="Times New Roman"/>
                <w:szCs w:val="22"/>
              </w:rPr>
              <w:t xml:space="preserve">Restituição de Indébito do ICMS </w:t>
            </w:r>
            <w:r w:rsidR="00832A94">
              <w:rPr>
                <w:rFonts w:ascii="Times New Roman" w:hAnsi="Times New Roman"/>
                <w:szCs w:val="22"/>
              </w:rPr>
              <w:t xml:space="preserve">Normal </w:t>
            </w:r>
            <w:r w:rsidR="00FC5883">
              <w:rPr>
                <w:rFonts w:ascii="Times New Roman" w:hAnsi="Times New Roman"/>
                <w:szCs w:val="22"/>
              </w:rPr>
              <w:t>Pago</w:t>
            </w:r>
            <w:r w:rsidR="00832A94"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1F7132" w:rsidRPr="006F06F0" w:rsidTr="00E01F2A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F7132" w:rsidRPr="006F06F0" w:rsidRDefault="001F7132" w:rsidP="00E01F2A">
            <w:pPr>
              <w:pStyle w:val="Ttulo2"/>
              <w:ind w:right="-85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F7132" w:rsidRPr="006F06F0" w:rsidRDefault="001F7132" w:rsidP="00E01F2A">
            <w:pPr>
              <w:spacing w:after="0"/>
              <w:ind w:left="-169" w:right="-366"/>
              <w:jc w:val="center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F66772" w:rsidRDefault="00F66772" w:rsidP="00C96A4B">
            <w:pPr>
              <w:pStyle w:val="Ttulo2"/>
              <w:ind w:right="72"/>
              <w:jc w:val="both"/>
              <w:rPr>
                <w:rFonts w:ascii="Times New Roman" w:hAnsi="Times New Roman"/>
                <w:szCs w:val="22"/>
              </w:rPr>
            </w:pPr>
          </w:p>
          <w:p w:rsidR="009D1501" w:rsidRPr="006F06F0" w:rsidRDefault="008F5BBB" w:rsidP="00F66772">
            <w:pPr>
              <w:pStyle w:val="Ttulo2"/>
              <w:ind w:right="7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Consulta nº 048</w:t>
            </w:r>
            <w:r w:rsidR="001F7132" w:rsidRPr="006F06F0">
              <w:rPr>
                <w:rFonts w:ascii="Times New Roman" w:hAnsi="Times New Roman"/>
                <w:szCs w:val="22"/>
              </w:rPr>
              <w:t>/201</w:t>
            </w:r>
            <w:r w:rsidR="00C96A4B">
              <w:rPr>
                <w:rFonts w:ascii="Times New Roman" w:hAnsi="Times New Roman"/>
                <w:szCs w:val="22"/>
              </w:rPr>
              <w:t>8</w:t>
            </w:r>
          </w:p>
        </w:tc>
      </w:tr>
    </w:tbl>
    <w:p w:rsidR="00F66772" w:rsidRDefault="00F66772" w:rsidP="00B76E0C">
      <w:pPr>
        <w:spacing w:line="360" w:lineRule="auto"/>
        <w:ind w:right="-992" w:firstLine="709"/>
        <w:jc w:val="both"/>
        <w:rPr>
          <w:rFonts w:ascii="Times New Roman" w:hAnsi="Times New Roman" w:cs="Times New Roman"/>
          <w:b/>
        </w:rPr>
      </w:pPr>
    </w:p>
    <w:p w:rsidR="00360C1E" w:rsidRDefault="00F968E2" w:rsidP="00B76E0C">
      <w:pPr>
        <w:spacing w:line="360" w:lineRule="auto"/>
        <w:ind w:right="-992" w:firstLine="709"/>
        <w:jc w:val="both"/>
        <w:rPr>
          <w:rFonts w:ascii="Times New Roman" w:hAnsi="Times New Roman" w:cs="Times New Roman"/>
          <w:b/>
          <w:smallCaps/>
        </w:rPr>
      </w:pPr>
      <w:r w:rsidRPr="006F06F0">
        <w:rPr>
          <w:rFonts w:ascii="Times New Roman" w:hAnsi="Times New Roman" w:cs="Times New Roman"/>
          <w:b/>
        </w:rPr>
        <w:t xml:space="preserve">I – </w:t>
      </w:r>
      <w:r w:rsidRPr="00C96A4B">
        <w:rPr>
          <w:rFonts w:ascii="Times New Roman" w:hAnsi="Times New Roman" w:cs="Times New Roman"/>
          <w:b/>
          <w:smallCaps/>
        </w:rPr>
        <w:t>R</w:t>
      </w:r>
      <w:r w:rsidR="00C96A4B" w:rsidRPr="00C96A4B">
        <w:rPr>
          <w:rFonts w:ascii="Times New Roman" w:hAnsi="Times New Roman" w:cs="Times New Roman"/>
          <w:b/>
          <w:smallCaps/>
        </w:rPr>
        <w:t>elatório</w:t>
      </w:r>
      <w:r w:rsidR="00C96A4B">
        <w:rPr>
          <w:rFonts w:ascii="Times New Roman" w:hAnsi="Times New Roman" w:cs="Times New Roman"/>
          <w:b/>
          <w:smallCaps/>
        </w:rPr>
        <w:t>.</w:t>
      </w:r>
    </w:p>
    <w:p w:rsidR="001D1431" w:rsidRDefault="00C96A4B" w:rsidP="00B76E0C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 w:rsidRPr="00C96A4B">
        <w:rPr>
          <w:rFonts w:ascii="Times New Roman" w:hAnsi="Times New Roman" w:cs="Times New Roman"/>
        </w:rPr>
        <w:t>A empresa</w:t>
      </w:r>
      <w:r w:rsidR="00035A7E">
        <w:rPr>
          <w:rFonts w:ascii="Times New Roman" w:hAnsi="Times New Roman" w:cs="Times New Roman"/>
        </w:rPr>
        <w:t xml:space="preserve"> </w:t>
      </w:r>
      <w:r w:rsidR="008E6EFA">
        <w:rPr>
          <w:rFonts w:ascii="Times New Roman" w:hAnsi="Times New Roman" w:cs="Times New Roman"/>
        </w:rPr>
        <w:t xml:space="preserve">encaminhou </w:t>
      </w:r>
      <w:r w:rsidR="00A04A1F">
        <w:rPr>
          <w:rFonts w:ascii="Times New Roman" w:hAnsi="Times New Roman" w:cs="Times New Roman"/>
        </w:rPr>
        <w:t>a</w:t>
      </w:r>
      <w:r w:rsidR="008E6EFA">
        <w:rPr>
          <w:rFonts w:ascii="Times New Roman" w:hAnsi="Times New Roman" w:cs="Times New Roman"/>
        </w:rPr>
        <w:t xml:space="preserve"> esta Superintendência </w:t>
      </w:r>
      <w:r w:rsidR="001D1431">
        <w:rPr>
          <w:rFonts w:ascii="Times New Roman" w:hAnsi="Times New Roman" w:cs="Times New Roman"/>
        </w:rPr>
        <w:t xml:space="preserve">consulta tributária </w:t>
      </w:r>
      <w:r w:rsidR="008E6EFA">
        <w:rPr>
          <w:rFonts w:ascii="Times New Roman" w:hAnsi="Times New Roman" w:cs="Times New Roman"/>
        </w:rPr>
        <w:t>nos termos abaixo</w:t>
      </w:r>
      <w:r w:rsidR="001D1431">
        <w:rPr>
          <w:rFonts w:ascii="Times New Roman" w:hAnsi="Times New Roman" w:cs="Times New Roman"/>
        </w:rPr>
        <w:t xml:space="preserve">. </w:t>
      </w:r>
    </w:p>
    <w:p w:rsidR="00674F9D" w:rsidRPr="008E6EFA" w:rsidRDefault="00674F9D" w:rsidP="00B76E0C">
      <w:pPr>
        <w:spacing w:line="360" w:lineRule="auto"/>
        <w:ind w:right="-992" w:firstLine="709"/>
        <w:jc w:val="both"/>
        <w:rPr>
          <w:rFonts w:ascii="Times New Roman" w:hAnsi="Times New Roman" w:cs="Times New Roman"/>
          <w:b/>
          <w:smallCaps/>
        </w:rPr>
      </w:pPr>
      <w:r w:rsidRPr="008E6EFA">
        <w:rPr>
          <w:rFonts w:ascii="Times New Roman" w:hAnsi="Times New Roman" w:cs="Times New Roman"/>
          <w:b/>
          <w:smallCaps/>
        </w:rPr>
        <w:t>Consulta:</w:t>
      </w:r>
    </w:p>
    <w:p w:rsidR="00C96A4B" w:rsidRPr="00C96A4B" w:rsidRDefault="00CD6153" w:rsidP="00B76E0C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Sobre um valor de crédito de ICMS de R$ 8.132,62 referente</w:t>
      </w:r>
      <w:r w:rsidR="009A7A8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ao mês de 12/2017</w:t>
      </w:r>
      <w:r w:rsidR="00E55787">
        <w:rPr>
          <w:rFonts w:ascii="Times New Roman" w:hAnsi="Times New Roman" w:cs="Times New Roman"/>
        </w:rPr>
        <w:t>,</w:t>
      </w:r>
      <w:r w:rsidR="00F12122">
        <w:rPr>
          <w:rFonts w:ascii="Times New Roman" w:hAnsi="Times New Roman" w:cs="Times New Roman"/>
        </w:rPr>
        <w:t xml:space="preserve"> considerando </w:t>
      </w:r>
      <w:r w:rsidR="00E55787">
        <w:rPr>
          <w:rFonts w:ascii="Times New Roman" w:hAnsi="Times New Roman" w:cs="Times New Roman"/>
        </w:rPr>
        <w:t xml:space="preserve">que a empresa </w:t>
      </w:r>
      <w:r w:rsidR="00A81D2C">
        <w:rPr>
          <w:rFonts w:ascii="Times New Roman" w:hAnsi="Times New Roman" w:cs="Times New Roman"/>
        </w:rPr>
        <w:t>passa</w:t>
      </w:r>
      <w:r w:rsidR="00E55787">
        <w:rPr>
          <w:rFonts w:ascii="Times New Roman" w:hAnsi="Times New Roman" w:cs="Times New Roman"/>
        </w:rPr>
        <w:t xml:space="preserve"> </w:t>
      </w:r>
      <w:r w:rsidR="00A81D2C">
        <w:rPr>
          <w:rFonts w:ascii="Times New Roman" w:hAnsi="Times New Roman" w:cs="Times New Roman"/>
        </w:rPr>
        <w:t>a ser do Simples Nacional a partir de 01/01/2018</w:t>
      </w:r>
      <w:r w:rsidR="00E55787">
        <w:rPr>
          <w:rFonts w:ascii="Times New Roman" w:hAnsi="Times New Roman" w:cs="Times New Roman"/>
        </w:rPr>
        <w:t xml:space="preserve">, </w:t>
      </w:r>
      <w:r w:rsidR="00A81D2C">
        <w:rPr>
          <w:rFonts w:ascii="Times New Roman" w:hAnsi="Times New Roman" w:cs="Times New Roman"/>
        </w:rPr>
        <w:t>solicita o aproveitamento d</w:t>
      </w:r>
      <w:r w:rsidR="00E55787">
        <w:rPr>
          <w:rFonts w:ascii="Times New Roman" w:hAnsi="Times New Roman" w:cs="Times New Roman"/>
        </w:rPr>
        <w:t xml:space="preserve">esse </w:t>
      </w:r>
      <w:r w:rsidR="00A81D2C">
        <w:rPr>
          <w:rFonts w:ascii="Times New Roman" w:hAnsi="Times New Roman" w:cs="Times New Roman"/>
        </w:rPr>
        <w:t>crédito</w:t>
      </w:r>
      <w:r w:rsidR="00674F9D">
        <w:rPr>
          <w:rFonts w:ascii="Times New Roman" w:hAnsi="Times New Roman" w:cs="Times New Roman"/>
        </w:rPr>
        <w:t xml:space="preserve"> </w:t>
      </w:r>
      <w:r w:rsidR="00E55787">
        <w:rPr>
          <w:rFonts w:ascii="Times New Roman" w:hAnsi="Times New Roman" w:cs="Times New Roman"/>
        </w:rPr>
        <w:t>para abater no valor total de R$ 12.232,55 de débito que a empresa possui com o Estado, já que sendo</w:t>
      </w:r>
      <w:r w:rsidR="00F12122">
        <w:rPr>
          <w:rFonts w:ascii="Times New Roman" w:hAnsi="Times New Roman" w:cs="Times New Roman"/>
        </w:rPr>
        <w:t xml:space="preserve"> do Simples Nacional não poderá fazer a utilização desse crédito.</w:t>
      </w:r>
    </w:p>
    <w:p w:rsidR="009128C1" w:rsidRPr="00E76665" w:rsidRDefault="009128C1" w:rsidP="00B76E0C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 w:rsidRPr="00E76665">
        <w:rPr>
          <w:rFonts w:ascii="Times New Roman" w:hAnsi="Times New Roman" w:cs="Times New Roman"/>
        </w:rPr>
        <w:t xml:space="preserve">O processo encontra-se instruído com o comprovante de pagamento da TSE (fls. 04/06), a habilitação do signatário da inicial para postular em nome da consulente (fls. </w:t>
      </w:r>
      <w:r w:rsidR="008D1383">
        <w:rPr>
          <w:rFonts w:ascii="Times New Roman" w:hAnsi="Times New Roman" w:cs="Times New Roman"/>
        </w:rPr>
        <w:t>07/10</w:t>
      </w:r>
      <w:r w:rsidRPr="00E76665">
        <w:rPr>
          <w:rFonts w:ascii="Times New Roman" w:hAnsi="Times New Roman" w:cs="Times New Roman"/>
        </w:rPr>
        <w:t xml:space="preserve">), bem como as informações relativas aos incisos I e II do artigo 3º da Resolução SEF n.° 109/76 (fls. </w:t>
      </w:r>
      <w:r w:rsidR="00CB7463">
        <w:rPr>
          <w:rFonts w:ascii="Times New Roman" w:hAnsi="Times New Roman" w:cs="Times New Roman"/>
        </w:rPr>
        <w:t>26</w:t>
      </w:r>
      <w:r w:rsidRPr="00E76665">
        <w:rPr>
          <w:rFonts w:ascii="Times New Roman" w:hAnsi="Times New Roman" w:cs="Times New Roman"/>
        </w:rPr>
        <w:t>).</w:t>
      </w:r>
    </w:p>
    <w:p w:rsidR="00F968E2" w:rsidRDefault="00F968E2" w:rsidP="00B76E0C">
      <w:pPr>
        <w:spacing w:line="360" w:lineRule="auto"/>
        <w:ind w:right="-992" w:firstLine="709"/>
        <w:jc w:val="both"/>
        <w:rPr>
          <w:rFonts w:ascii="Times New Roman" w:hAnsi="Times New Roman" w:cs="Times New Roman"/>
          <w:b/>
        </w:rPr>
      </w:pPr>
      <w:r w:rsidRPr="00C96A4B">
        <w:rPr>
          <w:rFonts w:ascii="Times New Roman" w:hAnsi="Times New Roman" w:cs="Times New Roman"/>
          <w:b/>
          <w:smallCaps/>
        </w:rPr>
        <w:t xml:space="preserve">II – </w:t>
      </w:r>
      <w:r w:rsidR="009F7DF5" w:rsidRPr="00C96A4B">
        <w:rPr>
          <w:rFonts w:ascii="Times New Roman" w:hAnsi="Times New Roman" w:cs="Times New Roman"/>
          <w:b/>
          <w:smallCaps/>
        </w:rPr>
        <w:t>A</w:t>
      </w:r>
      <w:r w:rsidR="00C96A4B" w:rsidRPr="00C96A4B">
        <w:rPr>
          <w:rFonts w:ascii="Times New Roman" w:hAnsi="Times New Roman" w:cs="Times New Roman"/>
          <w:b/>
          <w:smallCaps/>
        </w:rPr>
        <w:t>nálise</w:t>
      </w:r>
      <w:r w:rsidR="00622899">
        <w:rPr>
          <w:rFonts w:ascii="Times New Roman" w:hAnsi="Times New Roman" w:cs="Times New Roman"/>
          <w:b/>
          <w:smallCaps/>
        </w:rPr>
        <w:t xml:space="preserve">, </w:t>
      </w:r>
      <w:r w:rsidR="00584587" w:rsidRPr="00C96A4B">
        <w:rPr>
          <w:rFonts w:ascii="Times New Roman" w:hAnsi="Times New Roman" w:cs="Times New Roman"/>
          <w:b/>
          <w:smallCaps/>
        </w:rPr>
        <w:t>F</w:t>
      </w:r>
      <w:r w:rsidR="00C96A4B" w:rsidRPr="00C96A4B">
        <w:rPr>
          <w:rFonts w:ascii="Times New Roman" w:hAnsi="Times New Roman" w:cs="Times New Roman"/>
          <w:b/>
          <w:smallCaps/>
        </w:rPr>
        <w:t>undamentação</w:t>
      </w:r>
      <w:r w:rsidR="00622899">
        <w:rPr>
          <w:rFonts w:ascii="Times New Roman" w:hAnsi="Times New Roman" w:cs="Times New Roman"/>
          <w:b/>
          <w:smallCaps/>
        </w:rPr>
        <w:t xml:space="preserve"> e </w:t>
      </w:r>
      <w:r w:rsidR="00542EA5" w:rsidRPr="00C96A4B">
        <w:rPr>
          <w:rFonts w:ascii="Times New Roman" w:hAnsi="Times New Roman" w:cs="Times New Roman"/>
          <w:b/>
          <w:smallCaps/>
        </w:rPr>
        <w:t>R</w:t>
      </w:r>
      <w:r w:rsidR="00C96A4B" w:rsidRPr="00C96A4B">
        <w:rPr>
          <w:rFonts w:ascii="Times New Roman" w:hAnsi="Times New Roman" w:cs="Times New Roman"/>
          <w:b/>
          <w:smallCaps/>
        </w:rPr>
        <w:t>esposta</w:t>
      </w:r>
      <w:r w:rsidR="00C96A4B">
        <w:rPr>
          <w:rFonts w:ascii="Times New Roman" w:hAnsi="Times New Roman" w:cs="Times New Roman"/>
          <w:b/>
        </w:rPr>
        <w:t>:</w:t>
      </w:r>
    </w:p>
    <w:p w:rsidR="00622899" w:rsidRPr="00622899" w:rsidRDefault="00EA34A7" w:rsidP="00B76E0C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</w:t>
      </w:r>
      <w:r w:rsidR="00F70AC2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ocante </w:t>
      </w:r>
      <w:r w:rsidR="00F70AC2">
        <w:rPr>
          <w:rFonts w:ascii="Times New Roman" w:hAnsi="Times New Roman" w:cs="Times New Roman"/>
        </w:rPr>
        <w:t xml:space="preserve">ao ingresso no </w:t>
      </w:r>
      <w:r w:rsidR="00F70AC2" w:rsidRPr="00F70AC2">
        <w:rPr>
          <w:rFonts w:ascii="Times New Roman" w:hAnsi="Times New Roman" w:cs="Times New Roman"/>
        </w:rPr>
        <w:t>Regime Especial Unificado de Arrecadação de Tributos e Contribuições devidos pelas Microempresas e Empresas de Pequeno Porte - Simples Nacional</w:t>
      </w:r>
      <w:r w:rsidR="00F70AC2">
        <w:rPr>
          <w:rFonts w:ascii="Times New Roman" w:hAnsi="Times New Roman" w:cs="Times New Roman"/>
        </w:rPr>
        <w:t>, a</w:t>
      </w:r>
      <w:r w:rsidR="00837051">
        <w:rPr>
          <w:rFonts w:ascii="Times New Roman" w:hAnsi="Times New Roman" w:cs="Times New Roman"/>
        </w:rPr>
        <w:t xml:space="preserve"> questão está inteiramente disciplinada nos artigos 2º e 3º, Parte III, da Resolução SEFAZ n.º 720/14</w:t>
      </w:r>
      <w:r w:rsidR="00325D74">
        <w:rPr>
          <w:rFonts w:ascii="Times New Roman" w:hAnsi="Times New Roman" w:cs="Times New Roman"/>
        </w:rPr>
        <w:t>, abaixo transcritos:</w:t>
      </w:r>
    </w:p>
    <w:p w:rsidR="00BA271E" w:rsidRPr="00721A39" w:rsidRDefault="00721A39" w:rsidP="00BA271E">
      <w:pPr>
        <w:spacing w:line="360" w:lineRule="auto"/>
        <w:ind w:right="-992" w:firstLine="709"/>
        <w:jc w:val="both"/>
        <w:rPr>
          <w:rFonts w:ascii="Times New Roman" w:hAnsi="Times New Roman" w:cs="Times New Roman"/>
          <w:i/>
        </w:rPr>
      </w:pPr>
      <w:r w:rsidRPr="00721A39">
        <w:rPr>
          <w:rFonts w:ascii="Times New Roman" w:hAnsi="Times New Roman" w:cs="Times New Roman"/>
        </w:rPr>
        <w:t>“</w:t>
      </w:r>
      <w:r w:rsidR="00BA271E" w:rsidRPr="00721A39">
        <w:rPr>
          <w:rFonts w:ascii="Times New Roman" w:hAnsi="Times New Roman" w:cs="Times New Roman"/>
          <w:i/>
        </w:rPr>
        <w:t>Art. 2.º Para ingresso no Simples Nacional, a ME/EPP deve formalizar sua opção, observando as disposições estabelecidas na Resolução CGSN n.º 94/11.</w:t>
      </w:r>
    </w:p>
    <w:p w:rsidR="00BA271E" w:rsidRPr="00721A39" w:rsidRDefault="00BA271E" w:rsidP="00BA271E">
      <w:pPr>
        <w:spacing w:line="360" w:lineRule="auto"/>
        <w:ind w:right="-992" w:firstLine="709"/>
        <w:jc w:val="both"/>
        <w:rPr>
          <w:rFonts w:ascii="Times New Roman" w:hAnsi="Times New Roman" w:cs="Times New Roman"/>
          <w:i/>
        </w:rPr>
      </w:pPr>
      <w:r w:rsidRPr="00721A39">
        <w:rPr>
          <w:rFonts w:ascii="Times New Roman" w:hAnsi="Times New Roman" w:cs="Times New Roman"/>
          <w:i/>
        </w:rPr>
        <w:t>§ 1.º No caso de ME/EPP em início de atividades ou já em funcionamento, deverá ser observado o disposto no art. 6.º da Resolução CGSN n.º 94/11.</w:t>
      </w:r>
    </w:p>
    <w:p w:rsidR="00BA271E" w:rsidRPr="00721A39" w:rsidRDefault="00BA271E" w:rsidP="00BA271E">
      <w:pPr>
        <w:spacing w:line="360" w:lineRule="auto"/>
        <w:ind w:right="-992" w:firstLine="709"/>
        <w:jc w:val="both"/>
        <w:rPr>
          <w:rFonts w:ascii="Times New Roman" w:hAnsi="Times New Roman" w:cs="Times New Roman"/>
          <w:b/>
          <w:i/>
        </w:rPr>
      </w:pPr>
      <w:r w:rsidRPr="00721A39">
        <w:rPr>
          <w:rFonts w:ascii="Times New Roman" w:hAnsi="Times New Roman" w:cs="Times New Roman"/>
          <w:b/>
          <w:i/>
        </w:rPr>
        <w:t>§ 2.º Enquanto não divulgado o resultado de sua solicitação, o contribuinte deverá:</w:t>
      </w:r>
    </w:p>
    <w:p w:rsidR="00BA271E" w:rsidRPr="00721A39" w:rsidRDefault="00BA271E" w:rsidP="00BA271E">
      <w:pPr>
        <w:spacing w:line="360" w:lineRule="auto"/>
        <w:ind w:right="-992" w:firstLine="709"/>
        <w:jc w:val="both"/>
        <w:rPr>
          <w:rFonts w:ascii="Times New Roman" w:hAnsi="Times New Roman" w:cs="Times New Roman"/>
          <w:i/>
        </w:rPr>
      </w:pPr>
      <w:r w:rsidRPr="00721A39">
        <w:rPr>
          <w:rFonts w:ascii="Times New Roman" w:hAnsi="Times New Roman" w:cs="Times New Roman"/>
          <w:i/>
        </w:rPr>
        <w:t>I - emitir documentos fiscais com destaque do ICMS, quando devido, calculado segundo as regras do regime normal de tributação;</w:t>
      </w:r>
    </w:p>
    <w:p w:rsidR="00BA271E" w:rsidRPr="00721A39" w:rsidRDefault="00BA271E" w:rsidP="00BA271E">
      <w:pPr>
        <w:spacing w:line="360" w:lineRule="auto"/>
        <w:ind w:right="-992" w:firstLine="709"/>
        <w:jc w:val="both"/>
        <w:rPr>
          <w:rFonts w:ascii="Times New Roman" w:hAnsi="Times New Roman" w:cs="Times New Roman"/>
          <w:i/>
        </w:rPr>
      </w:pPr>
      <w:r w:rsidRPr="00721A39">
        <w:rPr>
          <w:rFonts w:ascii="Times New Roman" w:hAnsi="Times New Roman" w:cs="Times New Roman"/>
          <w:i/>
        </w:rPr>
        <w:lastRenderedPageBreak/>
        <w:t>II - escriturar normalmente os livros fiscais previstos na legislação em vigor, ressalvado o disposto no § 3.º deste artigo;</w:t>
      </w:r>
    </w:p>
    <w:p w:rsidR="00BA271E" w:rsidRPr="00721A39" w:rsidRDefault="00BA271E" w:rsidP="00BA271E">
      <w:pPr>
        <w:spacing w:line="360" w:lineRule="auto"/>
        <w:ind w:right="-992" w:firstLine="709"/>
        <w:jc w:val="both"/>
        <w:rPr>
          <w:rFonts w:ascii="Times New Roman" w:hAnsi="Times New Roman" w:cs="Times New Roman"/>
          <w:b/>
          <w:i/>
        </w:rPr>
      </w:pPr>
      <w:r w:rsidRPr="00721A39">
        <w:rPr>
          <w:rFonts w:ascii="Times New Roman" w:hAnsi="Times New Roman" w:cs="Times New Roman"/>
          <w:b/>
          <w:i/>
        </w:rPr>
        <w:t>III - apurar e recolher o ICMS segundo as regras do regime tributário estadual a que estiver sujeito; e</w:t>
      </w:r>
    </w:p>
    <w:p w:rsidR="00BA271E" w:rsidRPr="00721A39" w:rsidRDefault="00BA271E" w:rsidP="00BA271E">
      <w:pPr>
        <w:spacing w:line="360" w:lineRule="auto"/>
        <w:ind w:right="-992" w:firstLine="709"/>
        <w:jc w:val="both"/>
        <w:rPr>
          <w:rFonts w:ascii="Times New Roman" w:hAnsi="Times New Roman" w:cs="Times New Roman"/>
          <w:i/>
        </w:rPr>
      </w:pPr>
      <w:r w:rsidRPr="00721A39">
        <w:rPr>
          <w:rFonts w:ascii="Times New Roman" w:hAnsi="Times New Roman" w:cs="Times New Roman"/>
          <w:i/>
        </w:rPr>
        <w:t>IV - cumprir quaisquer outras obrigações tributárias a que estiver sujeito e que forem exigidas pela legislação do ICMS para os contribuintes não optantes pelo Simples Nacional.</w:t>
      </w:r>
    </w:p>
    <w:p w:rsidR="00BA271E" w:rsidRPr="00721A39" w:rsidRDefault="00BA271E" w:rsidP="00BA271E">
      <w:pPr>
        <w:spacing w:line="360" w:lineRule="auto"/>
        <w:ind w:right="-992" w:firstLine="709"/>
        <w:jc w:val="both"/>
        <w:rPr>
          <w:rFonts w:ascii="Times New Roman" w:hAnsi="Times New Roman" w:cs="Times New Roman"/>
          <w:i/>
        </w:rPr>
      </w:pPr>
      <w:r w:rsidRPr="00721A39">
        <w:rPr>
          <w:rFonts w:ascii="Times New Roman" w:hAnsi="Times New Roman" w:cs="Times New Roman"/>
          <w:i/>
        </w:rPr>
        <w:t>§ 3.º REVOGADO</w:t>
      </w:r>
    </w:p>
    <w:p w:rsidR="00BA271E" w:rsidRPr="00721A39" w:rsidRDefault="00BA271E" w:rsidP="00BA271E">
      <w:pPr>
        <w:spacing w:line="360" w:lineRule="auto"/>
        <w:ind w:right="-992" w:firstLine="709"/>
        <w:jc w:val="both"/>
        <w:rPr>
          <w:rFonts w:ascii="Times New Roman" w:hAnsi="Times New Roman" w:cs="Times New Roman"/>
          <w:i/>
        </w:rPr>
      </w:pPr>
      <w:r w:rsidRPr="00721A39">
        <w:rPr>
          <w:rFonts w:ascii="Times New Roman" w:hAnsi="Times New Roman" w:cs="Times New Roman"/>
          <w:i/>
        </w:rPr>
        <w:t>§ 4.º O eventual cálculo e pagamento do ICMS por DAS, efetuado por ME/EPP que se encontre na situação de que trata o § 2.º deste artigo, não exime o contribuinte do cumprimento das normas estabelecidas no referido parágrafo.</w:t>
      </w:r>
    </w:p>
    <w:p w:rsidR="00BA271E" w:rsidRPr="00721A39" w:rsidRDefault="00BA271E" w:rsidP="00BA271E">
      <w:pPr>
        <w:spacing w:line="360" w:lineRule="auto"/>
        <w:ind w:right="-992" w:firstLine="709"/>
        <w:jc w:val="both"/>
        <w:rPr>
          <w:rFonts w:ascii="Times New Roman" w:hAnsi="Times New Roman" w:cs="Times New Roman"/>
          <w:i/>
        </w:rPr>
      </w:pPr>
      <w:r w:rsidRPr="00721A39">
        <w:rPr>
          <w:rFonts w:ascii="Times New Roman" w:hAnsi="Times New Roman" w:cs="Times New Roman"/>
          <w:i/>
        </w:rPr>
        <w:t>§ 5.º Enquanto não comprovado o ingresso da empresa no Simples Nacional, não poderá ser autorizada a impressão de documentos fiscais contendo as expressões previstas no § 2.º do art. 57 e no caput do art. 58 da Resolução CGSN n.º 94/11.</w:t>
      </w:r>
    </w:p>
    <w:p w:rsidR="00BA271E" w:rsidRPr="00721A39" w:rsidRDefault="00BA271E" w:rsidP="00BA271E">
      <w:pPr>
        <w:spacing w:line="360" w:lineRule="auto"/>
        <w:ind w:right="-992" w:firstLine="709"/>
        <w:jc w:val="both"/>
        <w:rPr>
          <w:rFonts w:ascii="Times New Roman" w:hAnsi="Times New Roman" w:cs="Times New Roman"/>
          <w:i/>
        </w:rPr>
      </w:pPr>
      <w:r w:rsidRPr="00721A39">
        <w:rPr>
          <w:rFonts w:ascii="Times New Roman" w:hAnsi="Times New Roman" w:cs="Times New Roman"/>
          <w:i/>
        </w:rPr>
        <w:t>§ 6.º O previsto nos §§ 2.º a 5.º deste artigo aplica-se ainda à ME/EPP que recorrer do indeferimento de sua opção pelo Simples Nacional, a qualquer ente federativo, enquanto não decidido o recurso no âmbito administrativo.</w:t>
      </w:r>
    </w:p>
    <w:p w:rsidR="00BA271E" w:rsidRPr="00980A8D" w:rsidRDefault="00BA271E" w:rsidP="00BA271E">
      <w:pPr>
        <w:spacing w:line="360" w:lineRule="auto"/>
        <w:ind w:right="-992" w:firstLine="709"/>
        <w:jc w:val="both"/>
        <w:rPr>
          <w:rFonts w:ascii="Times New Roman" w:hAnsi="Times New Roman" w:cs="Times New Roman"/>
          <w:b/>
          <w:i/>
        </w:rPr>
      </w:pPr>
      <w:r w:rsidRPr="00980A8D">
        <w:rPr>
          <w:rFonts w:ascii="Times New Roman" w:hAnsi="Times New Roman" w:cs="Times New Roman"/>
          <w:b/>
          <w:i/>
        </w:rPr>
        <w:t>Art. 3.º A ME/EPP que ingressar no Simples Nacional deve, no prazo de até 30 (trinta) dias da inclusão no regime:</w:t>
      </w:r>
    </w:p>
    <w:p w:rsidR="00BA271E" w:rsidRPr="00980A8D" w:rsidRDefault="00BA271E" w:rsidP="00BA271E">
      <w:pPr>
        <w:spacing w:line="360" w:lineRule="auto"/>
        <w:ind w:right="-992" w:firstLine="709"/>
        <w:jc w:val="both"/>
        <w:rPr>
          <w:rFonts w:ascii="Times New Roman" w:hAnsi="Times New Roman" w:cs="Times New Roman"/>
          <w:b/>
          <w:i/>
        </w:rPr>
      </w:pPr>
      <w:r w:rsidRPr="00980A8D">
        <w:rPr>
          <w:rFonts w:ascii="Times New Roman" w:hAnsi="Times New Roman" w:cs="Times New Roman"/>
          <w:b/>
          <w:i/>
        </w:rPr>
        <w:t>I - estornar o saldo credor do ICMS porventura existente na data a partir da qual iniciarem os efeitos da opção pelo Simples Nacional;</w:t>
      </w:r>
    </w:p>
    <w:p w:rsidR="00BA271E" w:rsidRPr="00721A39" w:rsidRDefault="00BA271E" w:rsidP="00BA271E">
      <w:pPr>
        <w:spacing w:line="360" w:lineRule="auto"/>
        <w:ind w:right="-992" w:firstLine="709"/>
        <w:jc w:val="both"/>
        <w:rPr>
          <w:rFonts w:ascii="Times New Roman" w:hAnsi="Times New Roman" w:cs="Times New Roman"/>
          <w:i/>
        </w:rPr>
      </w:pPr>
      <w:r w:rsidRPr="00721A39">
        <w:rPr>
          <w:rFonts w:ascii="Times New Roman" w:hAnsi="Times New Roman" w:cs="Times New Roman"/>
          <w:i/>
        </w:rPr>
        <w:t>II - comunicar aos contribuintes para os quais tenha emitido documentos fiscais com destaque do ICMS após a data de efeitos da opção, que, em virtude de seu ingresso no Simples Nacional, o imposto destacado não pode ser aproveitado e, se já creditado, deve ser estornado;</w:t>
      </w:r>
    </w:p>
    <w:p w:rsidR="00BA271E" w:rsidRPr="00721A39" w:rsidRDefault="00BA271E" w:rsidP="00BA271E">
      <w:pPr>
        <w:spacing w:line="360" w:lineRule="auto"/>
        <w:ind w:right="-992" w:firstLine="709"/>
        <w:jc w:val="both"/>
        <w:rPr>
          <w:rFonts w:ascii="Times New Roman" w:hAnsi="Times New Roman" w:cs="Times New Roman"/>
          <w:i/>
        </w:rPr>
      </w:pPr>
      <w:r w:rsidRPr="00721A39">
        <w:rPr>
          <w:rFonts w:ascii="Times New Roman" w:hAnsi="Times New Roman" w:cs="Times New Roman"/>
          <w:i/>
        </w:rPr>
        <w:t>III - informar na comunicação de que trata o inciso II do caput deste artigo, quando for o caso, a possibilidade de crédito do ICMS de que trata o Capítulo VII desta Parte e o  art. 58 da Resolução CGSN n.º 94/11.</w:t>
      </w:r>
    </w:p>
    <w:p w:rsidR="00BA271E" w:rsidRPr="00721A39" w:rsidRDefault="00BA271E" w:rsidP="00BA271E">
      <w:pPr>
        <w:spacing w:line="360" w:lineRule="auto"/>
        <w:ind w:right="-992" w:firstLine="709"/>
        <w:jc w:val="both"/>
        <w:rPr>
          <w:rFonts w:ascii="Times New Roman" w:hAnsi="Times New Roman" w:cs="Times New Roman"/>
          <w:i/>
        </w:rPr>
      </w:pPr>
      <w:r w:rsidRPr="00721A39">
        <w:rPr>
          <w:rFonts w:ascii="Times New Roman" w:hAnsi="Times New Roman" w:cs="Times New Roman"/>
          <w:i/>
        </w:rPr>
        <w:lastRenderedPageBreak/>
        <w:t>§ 1.º O contribuinte de que trata o caput deste artigo poderá utilizar, até o término de sua validade, o estoque de documentos fiscais já autorizados e impressos, desde que inutilize os campos destinados à base de cálculo e ao imposto destacado, de obrigação própria, e acrescente no campo destinado às informações complementares, ou em sua falta, no corpo do documento, mediante carimbo, as expressões previstas no § 2.º do art. 57 e, quando for o caso, a expressão prevista no caput do art. 58, ambos da Resolução CGSN n.º 94/11.</w:t>
      </w:r>
    </w:p>
    <w:p w:rsidR="00BA271E" w:rsidRPr="00980A8D" w:rsidRDefault="00BA271E" w:rsidP="00BA271E">
      <w:pPr>
        <w:spacing w:line="360" w:lineRule="auto"/>
        <w:ind w:right="-992" w:firstLine="709"/>
        <w:jc w:val="both"/>
        <w:rPr>
          <w:rFonts w:ascii="Times New Roman" w:hAnsi="Times New Roman" w:cs="Times New Roman"/>
          <w:b/>
          <w:i/>
        </w:rPr>
      </w:pPr>
      <w:r w:rsidRPr="00980A8D">
        <w:rPr>
          <w:rFonts w:ascii="Times New Roman" w:hAnsi="Times New Roman" w:cs="Times New Roman"/>
          <w:b/>
          <w:i/>
        </w:rPr>
        <w:t>§ 2.º O ICMS que tiver sido apurado e recolhido nos termos do inciso III do § 2.º do art. 2.º desta Parte não poderá ser compensado com o devido no Simples Nacional, devendo o contribuinte:</w:t>
      </w:r>
    </w:p>
    <w:p w:rsidR="00BA271E" w:rsidRPr="00721A39" w:rsidRDefault="00BA271E" w:rsidP="00BA271E">
      <w:pPr>
        <w:spacing w:line="360" w:lineRule="auto"/>
        <w:ind w:right="-992" w:firstLine="709"/>
        <w:jc w:val="both"/>
        <w:rPr>
          <w:rFonts w:ascii="Times New Roman" w:hAnsi="Times New Roman" w:cs="Times New Roman"/>
          <w:i/>
        </w:rPr>
      </w:pPr>
      <w:r w:rsidRPr="00721A39">
        <w:rPr>
          <w:rFonts w:ascii="Times New Roman" w:hAnsi="Times New Roman" w:cs="Times New Roman"/>
          <w:i/>
        </w:rPr>
        <w:t>I - calcular e recolher o imposto devido pelo Simples Nacional, a partir do mês de início dos efeitos da opção, com os acréscimos porventura devidos, mediante utilização do aplicativo de cálculo e de geração do DAS; e</w:t>
      </w:r>
    </w:p>
    <w:p w:rsidR="009128C1" w:rsidRDefault="00BA271E" w:rsidP="00BA271E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 w:rsidRPr="00980A8D">
        <w:rPr>
          <w:rFonts w:ascii="Times New Roman" w:hAnsi="Times New Roman" w:cs="Times New Roman"/>
          <w:b/>
          <w:i/>
        </w:rPr>
        <w:t>II - requerer restituição de indébito do imposto recolhido conforme inciso III do § 2.º do art. 2.º desta Parte, observada a legislação estadual pertinente</w:t>
      </w:r>
      <w:r w:rsidR="00721A39">
        <w:rPr>
          <w:rFonts w:ascii="Times New Roman" w:hAnsi="Times New Roman" w:cs="Times New Roman"/>
        </w:rPr>
        <w:t>”</w:t>
      </w:r>
      <w:r w:rsidRPr="00721A39">
        <w:rPr>
          <w:rFonts w:ascii="Times New Roman" w:hAnsi="Times New Roman" w:cs="Times New Roman"/>
        </w:rPr>
        <w:t>.</w:t>
      </w:r>
    </w:p>
    <w:p w:rsidR="0095597A" w:rsidRDefault="001A580C" w:rsidP="00BA271E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acordo com a legislaç</w:t>
      </w:r>
      <w:r w:rsidR="00085E40">
        <w:rPr>
          <w:rFonts w:ascii="Times New Roman" w:hAnsi="Times New Roman" w:cs="Times New Roman"/>
        </w:rPr>
        <w:t>ão transcrita</w:t>
      </w:r>
      <w:r w:rsidR="00686F40">
        <w:rPr>
          <w:rFonts w:ascii="Times New Roman" w:hAnsi="Times New Roman" w:cs="Times New Roman"/>
        </w:rPr>
        <w:t xml:space="preserve">, </w:t>
      </w:r>
      <w:r w:rsidR="0095597A">
        <w:rPr>
          <w:rFonts w:ascii="Times New Roman" w:hAnsi="Times New Roman" w:cs="Times New Roman"/>
        </w:rPr>
        <w:t>a consulente deve adotar os seguintes procedimentos:</w:t>
      </w:r>
    </w:p>
    <w:p w:rsidR="001A580C" w:rsidRDefault="0095597A" w:rsidP="00BA271E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1º) O </w:t>
      </w:r>
      <w:r w:rsidR="00085E40">
        <w:rPr>
          <w:rFonts w:ascii="Times New Roman" w:hAnsi="Times New Roman" w:cs="Times New Roman"/>
        </w:rPr>
        <w:t xml:space="preserve">saldo credor </w:t>
      </w:r>
      <w:r w:rsidR="00452096" w:rsidRPr="00686F40">
        <w:rPr>
          <w:rFonts w:ascii="Times New Roman" w:hAnsi="Times New Roman" w:cs="Times New Roman"/>
          <w:b/>
        </w:rPr>
        <w:t>não utilizado</w:t>
      </w:r>
      <w:r w:rsidR="00452096">
        <w:rPr>
          <w:rFonts w:ascii="Times New Roman" w:hAnsi="Times New Roman" w:cs="Times New Roman"/>
        </w:rPr>
        <w:t xml:space="preserve"> e </w:t>
      </w:r>
      <w:r w:rsidR="00085E40">
        <w:rPr>
          <w:rFonts w:ascii="Times New Roman" w:hAnsi="Times New Roman" w:cs="Times New Roman"/>
        </w:rPr>
        <w:t>existente e</w:t>
      </w:r>
      <w:r>
        <w:rPr>
          <w:rFonts w:ascii="Times New Roman" w:hAnsi="Times New Roman" w:cs="Times New Roman"/>
        </w:rPr>
        <w:t>m 31/12/2017 deve ser estornado;</w:t>
      </w:r>
    </w:p>
    <w:p w:rsidR="00A43EB3" w:rsidRDefault="0095597A" w:rsidP="00B76E0C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2º) </w:t>
      </w:r>
      <w:r w:rsidR="00E45FBC">
        <w:rPr>
          <w:rFonts w:ascii="Times New Roman" w:hAnsi="Times New Roman" w:cs="Times New Roman"/>
        </w:rPr>
        <w:t>Considerando que</w:t>
      </w:r>
      <w:r w:rsidR="00AB45D2">
        <w:rPr>
          <w:rFonts w:ascii="Times New Roman" w:hAnsi="Times New Roman" w:cs="Times New Roman"/>
        </w:rPr>
        <w:t xml:space="preserve">, no caso presente, </w:t>
      </w:r>
      <w:r w:rsidRPr="0095597A">
        <w:rPr>
          <w:rFonts w:ascii="Times New Roman" w:hAnsi="Times New Roman" w:cs="Times New Roman"/>
        </w:rPr>
        <w:t xml:space="preserve">a opção </w:t>
      </w:r>
      <w:r w:rsidR="005461BC">
        <w:rPr>
          <w:rFonts w:ascii="Times New Roman" w:hAnsi="Times New Roman" w:cs="Times New Roman"/>
        </w:rPr>
        <w:t xml:space="preserve">para o </w:t>
      </w:r>
      <w:r w:rsidRPr="0095597A">
        <w:rPr>
          <w:rFonts w:ascii="Times New Roman" w:hAnsi="Times New Roman" w:cs="Times New Roman"/>
        </w:rPr>
        <w:t xml:space="preserve">ingresso no Simples Nacional </w:t>
      </w:r>
      <w:r w:rsidR="00AB45D2">
        <w:rPr>
          <w:rFonts w:ascii="Times New Roman" w:hAnsi="Times New Roman" w:cs="Times New Roman"/>
        </w:rPr>
        <w:t xml:space="preserve">foi </w:t>
      </w:r>
      <w:r w:rsidR="00E45FBC">
        <w:rPr>
          <w:rFonts w:ascii="Times New Roman" w:hAnsi="Times New Roman" w:cs="Times New Roman"/>
        </w:rPr>
        <w:t xml:space="preserve">deferida </w:t>
      </w:r>
      <w:r w:rsidR="005461BC">
        <w:rPr>
          <w:rFonts w:ascii="Times New Roman" w:hAnsi="Times New Roman" w:cs="Times New Roman"/>
        </w:rPr>
        <w:t xml:space="preserve">com </w:t>
      </w:r>
      <w:r w:rsidRPr="0095597A">
        <w:rPr>
          <w:rFonts w:ascii="Times New Roman" w:hAnsi="Times New Roman" w:cs="Times New Roman"/>
        </w:rPr>
        <w:t>efeitos a contar do dia 1º de janeiro d</w:t>
      </w:r>
      <w:r w:rsidR="005461BC">
        <w:rPr>
          <w:rFonts w:ascii="Times New Roman" w:hAnsi="Times New Roman" w:cs="Times New Roman"/>
        </w:rPr>
        <w:t>e 2</w:t>
      </w:r>
      <w:r w:rsidR="00AB45D2">
        <w:rPr>
          <w:rFonts w:ascii="Times New Roman" w:hAnsi="Times New Roman" w:cs="Times New Roman"/>
        </w:rPr>
        <w:t>.</w:t>
      </w:r>
      <w:r w:rsidR="005461BC">
        <w:rPr>
          <w:rFonts w:ascii="Times New Roman" w:hAnsi="Times New Roman" w:cs="Times New Roman"/>
        </w:rPr>
        <w:t xml:space="preserve">018, conforme </w:t>
      </w:r>
      <w:r w:rsidRPr="0095597A">
        <w:rPr>
          <w:rFonts w:ascii="Times New Roman" w:hAnsi="Times New Roman" w:cs="Times New Roman"/>
        </w:rPr>
        <w:t>art</w:t>
      </w:r>
      <w:r w:rsidR="005461BC">
        <w:rPr>
          <w:rFonts w:ascii="Times New Roman" w:hAnsi="Times New Roman" w:cs="Times New Roman"/>
        </w:rPr>
        <w:t xml:space="preserve">igo </w:t>
      </w:r>
      <w:r w:rsidRPr="0095597A">
        <w:rPr>
          <w:rFonts w:ascii="Times New Roman" w:hAnsi="Times New Roman" w:cs="Times New Roman"/>
        </w:rPr>
        <w:t>6.º, § 1.º</w:t>
      </w:r>
      <w:r w:rsidR="005461BC">
        <w:rPr>
          <w:rFonts w:ascii="Times New Roman" w:hAnsi="Times New Roman" w:cs="Times New Roman"/>
        </w:rPr>
        <w:t>, da Resolução CGSN nº 94/11,</w:t>
      </w:r>
      <w:r w:rsidR="00E45FBC">
        <w:rPr>
          <w:rFonts w:ascii="Times New Roman" w:hAnsi="Times New Roman" w:cs="Times New Roman"/>
        </w:rPr>
        <w:t xml:space="preserve"> </w:t>
      </w:r>
      <w:r w:rsidR="00882B6E">
        <w:rPr>
          <w:rFonts w:ascii="Times New Roman" w:hAnsi="Times New Roman" w:cs="Times New Roman"/>
        </w:rPr>
        <w:t xml:space="preserve">é facultado à consulente solicitar restituição de indébito </w:t>
      </w:r>
      <w:r w:rsidR="00DA7C42">
        <w:rPr>
          <w:rFonts w:ascii="Times New Roman" w:hAnsi="Times New Roman" w:cs="Times New Roman"/>
        </w:rPr>
        <w:t xml:space="preserve">na hipótese de ter pago </w:t>
      </w:r>
      <w:r w:rsidR="00E45FBC">
        <w:rPr>
          <w:rFonts w:ascii="Times New Roman" w:hAnsi="Times New Roman" w:cs="Times New Roman"/>
        </w:rPr>
        <w:t>ICMS após esta data conforme as normas comuns de tributação</w:t>
      </w:r>
      <w:r w:rsidR="0094620C">
        <w:rPr>
          <w:rFonts w:ascii="Times New Roman" w:hAnsi="Times New Roman" w:cs="Times New Roman"/>
        </w:rPr>
        <w:t>.</w:t>
      </w:r>
      <w:r w:rsidR="005461BC">
        <w:rPr>
          <w:rFonts w:ascii="Times New Roman" w:hAnsi="Times New Roman" w:cs="Times New Roman"/>
        </w:rPr>
        <w:t xml:space="preserve"> </w:t>
      </w:r>
    </w:p>
    <w:p w:rsidR="00F63FF7" w:rsidRDefault="002934A4" w:rsidP="00EA34A7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Sobre </w:t>
      </w:r>
      <w:r w:rsidR="00EA34A7">
        <w:rPr>
          <w:rFonts w:ascii="Times New Roman" w:hAnsi="Times New Roman" w:cs="Times New Roman"/>
        </w:rPr>
        <w:t xml:space="preserve">as </w:t>
      </w:r>
      <w:r>
        <w:rPr>
          <w:rFonts w:ascii="Times New Roman" w:hAnsi="Times New Roman" w:cs="Times New Roman"/>
        </w:rPr>
        <w:t xml:space="preserve">hipóteses </w:t>
      </w:r>
      <w:r w:rsidR="00EA34A7">
        <w:rPr>
          <w:rFonts w:ascii="Times New Roman" w:hAnsi="Times New Roman" w:cs="Times New Roman"/>
        </w:rPr>
        <w:t>genéricas relacionadas aos saldos credores acumulados do ICMS</w:t>
      </w:r>
      <w:r>
        <w:rPr>
          <w:rFonts w:ascii="Times New Roman" w:hAnsi="Times New Roman" w:cs="Times New Roman"/>
        </w:rPr>
        <w:t xml:space="preserve">, </w:t>
      </w:r>
      <w:r w:rsidR="00EB7488">
        <w:rPr>
          <w:rFonts w:ascii="Times New Roman" w:hAnsi="Times New Roman" w:cs="Times New Roman"/>
        </w:rPr>
        <w:t xml:space="preserve">de acordo com </w:t>
      </w:r>
      <w:r w:rsidR="00EA34A7" w:rsidRPr="0005126C">
        <w:rPr>
          <w:rFonts w:ascii="Times New Roman" w:hAnsi="Times New Roman" w:cs="Times New Roman"/>
        </w:rPr>
        <w:t xml:space="preserve">as informações constantes do </w:t>
      </w:r>
      <w:r w:rsidR="00EA34A7">
        <w:rPr>
          <w:rFonts w:ascii="Times New Roman" w:hAnsi="Times New Roman" w:cs="Times New Roman"/>
        </w:rPr>
        <w:t xml:space="preserve">Sistema de Cadastro dos Contribuintes do ICMS do Estado do Rio de Janeiro (SINCAD), </w:t>
      </w:r>
      <w:r>
        <w:rPr>
          <w:rFonts w:ascii="Times New Roman" w:hAnsi="Times New Roman" w:cs="Times New Roman"/>
        </w:rPr>
        <w:t xml:space="preserve">verificamos que </w:t>
      </w:r>
      <w:r w:rsidR="00EA34A7">
        <w:rPr>
          <w:rFonts w:ascii="Times New Roman" w:hAnsi="Times New Roman" w:cs="Times New Roman"/>
        </w:rPr>
        <w:t xml:space="preserve">a consulente tem por atividade o comércio varejista </w:t>
      </w:r>
      <w:r w:rsidR="00EB7488">
        <w:rPr>
          <w:rFonts w:ascii="Times New Roman" w:hAnsi="Times New Roman" w:cs="Times New Roman"/>
        </w:rPr>
        <w:t xml:space="preserve">sendo </w:t>
      </w:r>
      <w:r w:rsidR="00EA34A7">
        <w:rPr>
          <w:rFonts w:ascii="Times New Roman" w:hAnsi="Times New Roman" w:cs="Times New Roman"/>
        </w:rPr>
        <w:t xml:space="preserve">estabelecimento </w:t>
      </w:r>
      <w:r w:rsidR="00EB7488">
        <w:rPr>
          <w:rFonts w:ascii="Times New Roman" w:hAnsi="Times New Roman" w:cs="Times New Roman"/>
        </w:rPr>
        <w:t xml:space="preserve">único </w:t>
      </w:r>
      <w:r w:rsidR="00EA34A7">
        <w:rPr>
          <w:rFonts w:ascii="Times New Roman" w:hAnsi="Times New Roman" w:cs="Times New Roman"/>
        </w:rPr>
        <w:t xml:space="preserve">no Estado.  </w:t>
      </w:r>
    </w:p>
    <w:p w:rsidR="006A2B72" w:rsidRDefault="004E2012" w:rsidP="00EA34A7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Assim, </w:t>
      </w:r>
      <w:r w:rsidR="00A57821">
        <w:rPr>
          <w:rFonts w:ascii="Times New Roman" w:hAnsi="Times New Roman" w:cs="Times New Roman"/>
        </w:rPr>
        <w:t xml:space="preserve">como estabelecimento varejista único no Estado, </w:t>
      </w:r>
      <w:r w:rsidR="00EA34A7">
        <w:rPr>
          <w:rFonts w:ascii="Times New Roman" w:hAnsi="Times New Roman" w:cs="Times New Roman"/>
        </w:rPr>
        <w:t xml:space="preserve">não lhe é possível a compensação </w:t>
      </w:r>
      <w:r w:rsidR="00EA34A7" w:rsidRPr="00B64080">
        <w:rPr>
          <w:rFonts w:ascii="Times New Roman" w:hAnsi="Times New Roman" w:cs="Times New Roman"/>
        </w:rPr>
        <w:t>de saldos credores e devedores entre estabelecimentos</w:t>
      </w:r>
      <w:r w:rsidR="00EA34A7">
        <w:rPr>
          <w:rFonts w:ascii="Times New Roman" w:hAnsi="Times New Roman" w:cs="Times New Roman"/>
        </w:rPr>
        <w:t xml:space="preserve">, bem como a utilização do </w:t>
      </w:r>
      <w:r w:rsidR="00EA34A7" w:rsidRPr="00E94FA6">
        <w:rPr>
          <w:rFonts w:ascii="Times New Roman" w:hAnsi="Times New Roman" w:cs="Times New Roman"/>
        </w:rPr>
        <w:t xml:space="preserve">saldo credor </w:t>
      </w:r>
      <w:r w:rsidR="00EA34A7">
        <w:rPr>
          <w:rFonts w:ascii="Times New Roman" w:hAnsi="Times New Roman" w:cs="Times New Roman"/>
        </w:rPr>
        <w:t xml:space="preserve">para </w:t>
      </w:r>
      <w:r w:rsidR="00EA34A7" w:rsidRPr="00E94FA6">
        <w:rPr>
          <w:rFonts w:ascii="Times New Roman" w:hAnsi="Times New Roman" w:cs="Times New Roman"/>
        </w:rPr>
        <w:t>pagamento de crédito tributário do I</w:t>
      </w:r>
      <w:r w:rsidR="00EA34A7">
        <w:rPr>
          <w:rFonts w:ascii="Times New Roman" w:hAnsi="Times New Roman" w:cs="Times New Roman"/>
        </w:rPr>
        <w:t>CMS existente contra o detentor, previstos nos artigos 1º e 14, inciso II, respectivamente, do Livro III do Regulamento do ICMS, aprovado pelo Decreto n.º 27.427/00.</w:t>
      </w:r>
      <w:r w:rsidR="00E11D3C">
        <w:rPr>
          <w:rFonts w:ascii="Times New Roman" w:hAnsi="Times New Roman" w:cs="Times New Roman"/>
        </w:rPr>
        <w:t xml:space="preserve">  </w:t>
      </w:r>
    </w:p>
    <w:p w:rsidR="00EA34A7" w:rsidRDefault="00457743" w:rsidP="00EA34A7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 </w:t>
      </w:r>
      <w:r w:rsidR="00A83856">
        <w:rPr>
          <w:rFonts w:ascii="Times New Roman" w:hAnsi="Times New Roman" w:cs="Times New Roman"/>
        </w:rPr>
        <w:t>consulente não esclarece</w:t>
      </w:r>
      <w:r w:rsidR="004E2012">
        <w:rPr>
          <w:rFonts w:ascii="Times New Roman" w:hAnsi="Times New Roman" w:cs="Times New Roman"/>
        </w:rPr>
        <w:t xml:space="preserve"> a origem do crédito R$ </w:t>
      </w:r>
      <w:r>
        <w:rPr>
          <w:rFonts w:ascii="Times New Roman" w:hAnsi="Times New Roman" w:cs="Times New Roman"/>
        </w:rPr>
        <w:t>8</w:t>
      </w:r>
      <w:r w:rsidR="004E201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132</w:t>
      </w:r>
      <w:r w:rsidR="004E201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621.  Contudo, diante da legislação mencionada, podemos concluir que </w:t>
      </w:r>
      <w:r w:rsidR="00E11D3C">
        <w:rPr>
          <w:rFonts w:ascii="Times New Roman" w:hAnsi="Times New Roman" w:cs="Times New Roman"/>
        </w:rPr>
        <w:t xml:space="preserve">não há </w:t>
      </w:r>
      <w:r w:rsidR="00A43A84">
        <w:rPr>
          <w:rFonts w:ascii="Times New Roman" w:hAnsi="Times New Roman" w:cs="Times New Roman"/>
        </w:rPr>
        <w:t xml:space="preserve">meios </w:t>
      </w:r>
      <w:r w:rsidR="00E11D3C">
        <w:rPr>
          <w:rFonts w:ascii="Times New Roman" w:hAnsi="Times New Roman" w:cs="Times New Roman"/>
        </w:rPr>
        <w:t xml:space="preserve">para </w:t>
      </w:r>
      <w:r w:rsidR="004635A9">
        <w:rPr>
          <w:rFonts w:ascii="Times New Roman" w:hAnsi="Times New Roman" w:cs="Times New Roman"/>
        </w:rPr>
        <w:t xml:space="preserve">o aproveitamento do saldo credor </w:t>
      </w:r>
      <w:r w:rsidR="00882246">
        <w:rPr>
          <w:rFonts w:ascii="Times New Roman" w:hAnsi="Times New Roman" w:cs="Times New Roman"/>
        </w:rPr>
        <w:t xml:space="preserve">não utilizado </w:t>
      </w:r>
      <w:r w:rsidR="004635A9">
        <w:rPr>
          <w:rFonts w:ascii="Times New Roman" w:hAnsi="Times New Roman" w:cs="Times New Roman"/>
        </w:rPr>
        <w:t>com d</w:t>
      </w:r>
      <w:r w:rsidR="0025217C">
        <w:rPr>
          <w:rFonts w:ascii="Times New Roman" w:hAnsi="Times New Roman" w:cs="Times New Roman"/>
        </w:rPr>
        <w:t>ébitos que a empresa tem com o Estado.</w:t>
      </w:r>
    </w:p>
    <w:p w:rsidR="009128C1" w:rsidRPr="0077465F" w:rsidRDefault="009128C1" w:rsidP="00B76E0C">
      <w:pPr>
        <w:spacing w:line="360" w:lineRule="auto"/>
        <w:ind w:right="-992" w:firstLine="709"/>
        <w:jc w:val="both"/>
        <w:rPr>
          <w:rFonts w:ascii="Times New Roman" w:hAnsi="Times New Roman" w:cs="Times New Roman"/>
        </w:rPr>
      </w:pPr>
      <w:r w:rsidRPr="0077465F">
        <w:rPr>
          <w:rFonts w:ascii="Times New Roman" w:hAnsi="Times New Roman" w:cs="Times New Roman"/>
        </w:rPr>
        <w:t>Fique a consulente ciente de que esta consulta perderá automaticamente a sua eficácia normativa em caso de mudança de entendimento por parte da Administração Tributária ou seja editada norma superveniente dispondo de forma contrária.</w:t>
      </w:r>
    </w:p>
    <w:p w:rsidR="009128C1" w:rsidRPr="00EF07B0" w:rsidRDefault="009128C1" w:rsidP="009128C1">
      <w:pPr>
        <w:spacing w:after="0" w:line="360" w:lineRule="auto"/>
        <w:ind w:right="-852" w:firstLine="709"/>
        <w:jc w:val="center"/>
        <w:rPr>
          <w:rFonts w:ascii="Times New Roman" w:hAnsi="Times New Roman" w:cs="Times New Roman"/>
        </w:rPr>
      </w:pPr>
      <w:r w:rsidRPr="00EF07B0">
        <w:rPr>
          <w:rFonts w:ascii="Times New Roman" w:hAnsi="Times New Roman" w:cs="Times New Roman"/>
        </w:rPr>
        <w:t>CCJT, em</w:t>
      </w:r>
      <w:r w:rsidR="00325D74">
        <w:rPr>
          <w:rFonts w:ascii="Times New Roman" w:hAnsi="Times New Roman" w:cs="Times New Roman"/>
        </w:rPr>
        <w:t xml:space="preserve"> </w:t>
      </w:r>
      <w:r w:rsidR="00A43A84">
        <w:rPr>
          <w:rFonts w:ascii="Times New Roman" w:hAnsi="Times New Roman" w:cs="Times New Roman"/>
        </w:rPr>
        <w:t xml:space="preserve">10 </w:t>
      </w:r>
      <w:r w:rsidRPr="00EF07B0">
        <w:rPr>
          <w:rFonts w:ascii="Times New Roman" w:hAnsi="Times New Roman" w:cs="Times New Roman"/>
        </w:rPr>
        <w:t>de</w:t>
      </w:r>
      <w:r w:rsidR="00325D74">
        <w:rPr>
          <w:rFonts w:ascii="Times New Roman" w:hAnsi="Times New Roman" w:cs="Times New Roman"/>
        </w:rPr>
        <w:t xml:space="preserve"> </w:t>
      </w:r>
      <w:r w:rsidR="00A43A84">
        <w:rPr>
          <w:rFonts w:ascii="Times New Roman" w:hAnsi="Times New Roman" w:cs="Times New Roman"/>
        </w:rPr>
        <w:t>maio</w:t>
      </w:r>
      <w:r w:rsidR="00393E1D">
        <w:rPr>
          <w:rFonts w:ascii="Times New Roman" w:hAnsi="Times New Roman" w:cs="Times New Roman"/>
        </w:rPr>
        <w:t xml:space="preserve"> </w:t>
      </w:r>
      <w:r w:rsidRPr="00EF07B0">
        <w:rPr>
          <w:rFonts w:ascii="Times New Roman" w:hAnsi="Times New Roman" w:cs="Times New Roman"/>
        </w:rPr>
        <w:t>de 2.01</w:t>
      </w:r>
      <w:r>
        <w:rPr>
          <w:rFonts w:ascii="Times New Roman" w:hAnsi="Times New Roman" w:cs="Times New Roman"/>
        </w:rPr>
        <w:t>8</w:t>
      </w:r>
      <w:r w:rsidRPr="00EF07B0">
        <w:rPr>
          <w:rFonts w:ascii="Times New Roman" w:hAnsi="Times New Roman" w:cs="Times New Roman"/>
        </w:rPr>
        <w:t>.</w:t>
      </w:r>
    </w:p>
    <w:sectPr w:rsidR="009128C1" w:rsidRPr="00EF07B0" w:rsidSect="00F66772">
      <w:headerReference w:type="default" r:id="rId9"/>
      <w:pgSz w:w="11906" w:h="16838"/>
      <w:pgMar w:top="1417" w:right="1701" w:bottom="1417" w:left="1701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D8" w:rsidRDefault="002436D8" w:rsidP="00546EC0">
      <w:pPr>
        <w:spacing w:after="0" w:line="240" w:lineRule="auto"/>
      </w:pPr>
      <w:r>
        <w:separator/>
      </w:r>
    </w:p>
  </w:endnote>
  <w:endnote w:type="continuationSeparator" w:id="0">
    <w:p w:rsidR="002436D8" w:rsidRDefault="002436D8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D8" w:rsidRDefault="002436D8" w:rsidP="00546EC0">
      <w:pPr>
        <w:spacing w:after="0" w:line="240" w:lineRule="auto"/>
      </w:pPr>
      <w:r>
        <w:separator/>
      </w:r>
    </w:p>
  </w:footnote>
  <w:footnote w:type="continuationSeparator" w:id="0">
    <w:p w:rsidR="002436D8" w:rsidRDefault="002436D8" w:rsidP="0054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807"/>
      <w:gridCol w:w="2983"/>
    </w:tblGrid>
    <w:tr w:rsidR="00555312" w:rsidRPr="002E7B20" w:rsidTr="002D7022">
      <w:trPr>
        <w:cantSplit/>
        <w:trHeight w:val="1180"/>
      </w:trPr>
      <w:tc>
        <w:tcPr>
          <w:tcW w:w="6310" w:type="dxa"/>
        </w:tcPr>
        <w:p w:rsidR="00555312" w:rsidRPr="002E7B20" w:rsidRDefault="00555312" w:rsidP="002D7022">
          <w:pPr>
            <w:pStyle w:val="Cabealho"/>
            <w:spacing w:line="276" w:lineRule="auto"/>
            <w:ind w:left="1276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pt-BR"/>
            </w:rPr>
            <w:drawing>
              <wp:inline distT="0" distB="0" distL="0" distR="0" wp14:anchorId="6041C731" wp14:editId="56837D77">
                <wp:extent cx="914400" cy="895350"/>
                <wp:effectExtent l="0" t="0" r="0" b="0"/>
                <wp:docPr id="1" name="Imagem 1" descr="Descrição: C:\Users\wsantiago\Desktop\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C:\Users\wsantiago\Desktop\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55312" w:rsidRPr="002E7B20" w:rsidRDefault="0055531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Governo do Estado do Rio de Janeiro</w:t>
          </w:r>
        </w:p>
        <w:p w:rsidR="00555312" w:rsidRPr="002E7B20" w:rsidRDefault="0055531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Secretaria de Estado de Fazenda</w:t>
          </w:r>
          <w:r w:rsidR="00E86405">
            <w:rPr>
              <w:rFonts w:ascii="Times New Roman" w:hAnsi="Times New Roman"/>
              <w:b/>
              <w:sz w:val="20"/>
            </w:rPr>
            <w:t xml:space="preserve"> e Planejamento</w:t>
          </w:r>
        </w:p>
        <w:p w:rsidR="00555312" w:rsidRPr="002E7B20" w:rsidRDefault="0055531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Superintendência de Tributação</w:t>
          </w:r>
        </w:p>
        <w:p w:rsidR="00555312" w:rsidRPr="002E7B20" w:rsidRDefault="00555312" w:rsidP="00462AC3">
          <w:pPr>
            <w:pStyle w:val="Cabealho"/>
            <w:spacing w:line="276" w:lineRule="auto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Coordenação de Consultas Jurídico-Tributárias</w:t>
          </w:r>
        </w:p>
      </w:tc>
      <w:tc>
        <w:tcPr>
          <w:tcW w:w="2765" w:type="dxa"/>
          <w:hideMark/>
        </w:tcPr>
        <w:tbl>
          <w:tblPr>
            <w:tblpPr w:leftFromText="141" w:rightFromText="141" w:horzAnchor="margin" w:tblpY="501"/>
            <w:tblOverlap w:val="never"/>
            <w:tblW w:w="2812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812"/>
          </w:tblGrid>
          <w:tr w:rsidR="00555312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single" w:sz="18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555312" w:rsidRPr="002E7B20" w:rsidRDefault="00555312" w:rsidP="00462AC3">
                <w:pPr>
                  <w:pStyle w:val="Cabealho"/>
                  <w:spacing w:line="276" w:lineRule="auto"/>
                  <w:ind w:left="-70" w:right="72"/>
                  <w:jc w:val="center"/>
                  <w:rPr>
                    <w:rFonts w:ascii="Times New Roman" w:hAnsi="Times New Roman"/>
                    <w:b/>
                    <w:sz w:val="20"/>
                  </w:rPr>
                </w:pPr>
                <w:r w:rsidRPr="002E7B20">
                  <w:rPr>
                    <w:rFonts w:ascii="Times New Roman" w:hAnsi="Times New Roman"/>
                    <w:b/>
                    <w:sz w:val="20"/>
                  </w:rPr>
                  <w:t>Serviço Público Estadual</w:t>
                </w:r>
              </w:p>
            </w:tc>
          </w:tr>
          <w:tr w:rsidR="00555312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555312" w:rsidRPr="002E7B20" w:rsidRDefault="00555312" w:rsidP="00C34397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>Proc. E-04/</w:t>
                </w:r>
                <w:r w:rsidR="00C34397">
                  <w:rPr>
                    <w:rFonts w:ascii="Times New Roman" w:hAnsi="Times New Roman"/>
                    <w:sz w:val="20"/>
                  </w:rPr>
                  <w:t>205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 w:rsidR="00C34397">
                  <w:rPr>
                    <w:rFonts w:ascii="Times New Roman" w:hAnsi="Times New Roman"/>
                    <w:sz w:val="20"/>
                  </w:rPr>
                  <w:t>581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 w:rsidR="00C34397">
                  <w:rPr>
                    <w:rFonts w:ascii="Times New Roman" w:hAnsi="Times New Roman"/>
                    <w:sz w:val="20"/>
                  </w:rPr>
                  <w:t>2018</w:t>
                </w:r>
              </w:p>
            </w:tc>
          </w:tr>
          <w:tr w:rsidR="00555312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555312" w:rsidRPr="002E7B20" w:rsidRDefault="00555312" w:rsidP="00C34397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 xml:space="preserve">Data: </w:t>
                </w:r>
                <w:r w:rsidR="00C34397">
                  <w:rPr>
                    <w:rFonts w:ascii="Times New Roman" w:hAnsi="Times New Roman"/>
                    <w:sz w:val="20"/>
                  </w:rPr>
                  <w:t>13</w:t>
                </w:r>
                <w:r>
                  <w:rPr>
                    <w:rFonts w:ascii="Times New Roman" w:hAnsi="Times New Roman"/>
                    <w:sz w:val="20"/>
                  </w:rPr>
                  <w:t>/</w:t>
                </w:r>
                <w:r w:rsidR="00C34397">
                  <w:rPr>
                    <w:rFonts w:ascii="Times New Roman" w:hAnsi="Times New Roman"/>
                    <w:sz w:val="20"/>
                  </w:rPr>
                  <w:t>03</w:t>
                </w:r>
                <w:r>
                  <w:rPr>
                    <w:rFonts w:ascii="Times New Roman" w:hAnsi="Times New Roman"/>
                    <w:sz w:val="20"/>
                  </w:rPr>
                  <w:t>/</w:t>
                </w:r>
                <w:r w:rsidR="00C34397">
                  <w:rPr>
                    <w:rFonts w:ascii="Times New Roman" w:hAnsi="Times New Roman"/>
                    <w:sz w:val="20"/>
                  </w:rPr>
                  <w:t>18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–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Fls</w:t>
                </w:r>
                <w:r>
                  <w:rPr>
                    <w:rFonts w:ascii="Times New Roman" w:hAnsi="Times New Roman"/>
                    <w:sz w:val="20"/>
                  </w:rPr>
                  <w:t>.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: </w:t>
                </w:r>
                <w:r w:rsidR="00CE506F" w:rsidRPr="00462AC3">
                  <w:rPr>
                    <w:rFonts w:ascii="Times New Roman" w:hAnsi="Times New Roman"/>
                    <w:sz w:val="20"/>
                  </w:rPr>
                  <w:fldChar w:fldCharType="begin"/>
                </w:r>
                <w:r w:rsidRPr="00462AC3">
                  <w:rPr>
                    <w:rFonts w:ascii="Times New Roman" w:hAnsi="Times New Roman"/>
                    <w:sz w:val="20"/>
                  </w:rPr>
                  <w:instrText>PAGE   \* MERGEFORMAT</w:instrText>
                </w:r>
                <w:r w:rsidR="00CE506F" w:rsidRPr="00462AC3">
                  <w:rPr>
                    <w:rFonts w:ascii="Times New Roman" w:hAnsi="Times New Roman"/>
                    <w:sz w:val="20"/>
                  </w:rPr>
                  <w:fldChar w:fldCharType="separate"/>
                </w:r>
                <w:r w:rsidR="00F66772">
                  <w:rPr>
                    <w:rFonts w:ascii="Times New Roman" w:hAnsi="Times New Roman"/>
                    <w:noProof/>
                    <w:sz w:val="20"/>
                  </w:rPr>
                  <w:t>28</w:t>
                </w:r>
                <w:r w:rsidR="00CE506F" w:rsidRPr="00462AC3">
                  <w:rPr>
                    <w:rFonts w:ascii="Times New Roman" w:hAnsi="Times New Roman"/>
                    <w:sz w:val="20"/>
                  </w:rPr>
                  <w:fldChar w:fldCharType="end"/>
                </w:r>
              </w:p>
            </w:tc>
          </w:tr>
          <w:tr w:rsidR="00555312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hideMark/>
              </w:tcPr>
              <w:p w:rsidR="00555312" w:rsidRPr="00462AC3" w:rsidRDefault="00555312" w:rsidP="0035322A">
                <w:pPr>
                  <w:pStyle w:val="Cabealho"/>
                  <w:spacing w:line="276" w:lineRule="auto"/>
                  <w:ind w:right="72"/>
                  <w:jc w:val="right"/>
                  <w:rPr>
                    <w:rFonts w:ascii="Times New Roman" w:hAnsi="Times New Roman"/>
                    <w:sz w:val="16"/>
                    <w:szCs w:val="16"/>
                  </w:rPr>
                </w:pPr>
              </w:p>
            </w:tc>
          </w:tr>
        </w:tbl>
        <w:p w:rsidR="00555312" w:rsidRPr="002E7B20" w:rsidRDefault="00555312" w:rsidP="002D7022">
          <w:pPr>
            <w:pStyle w:val="Cabealho"/>
            <w:spacing w:line="276" w:lineRule="auto"/>
            <w:ind w:right="-70"/>
            <w:jc w:val="center"/>
            <w:rPr>
              <w:rFonts w:ascii="Times New Roman" w:hAnsi="Times New Roman"/>
              <w:b/>
              <w:sz w:val="20"/>
            </w:rPr>
          </w:pPr>
        </w:p>
      </w:tc>
    </w:tr>
  </w:tbl>
  <w:p w:rsidR="00555312" w:rsidRPr="00462AC3" w:rsidRDefault="00555312" w:rsidP="00462AC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oNotShadeFormData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C0"/>
    <w:rsid w:val="000016C8"/>
    <w:rsid w:val="000055B0"/>
    <w:rsid w:val="0002389A"/>
    <w:rsid w:val="00035A7E"/>
    <w:rsid w:val="000477C3"/>
    <w:rsid w:val="0005126C"/>
    <w:rsid w:val="0008336D"/>
    <w:rsid w:val="00085669"/>
    <w:rsid w:val="00085E40"/>
    <w:rsid w:val="000D6F55"/>
    <w:rsid w:val="000F30B1"/>
    <w:rsid w:val="000F63EE"/>
    <w:rsid w:val="00102201"/>
    <w:rsid w:val="00131991"/>
    <w:rsid w:val="0014427E"/>
    <w:rsid w:val="0014555C"/>
    <w:rsid w:val="00157300"/>
    <w:rsid w:val="00166FDB"/>
    <w:rsid w:val="001760E5"/>
    <w:rsid w:val="001A580C"/>
    <w:rsid w:val="001C7B3E"/>
    <w:rsid w:val="001D1431"/>
    <w:rsid w:val="001E4F56"/>
    <w:rsid w:val="001F309B"/>
    <w:rsid w:val="001F3F43"/>
    <w:rsid w:val="001F7132"/>
    <w:rsid w:val="00210225"/>
    <w:rsid w:val="002124DC"/>
    <w:rsid w:val="002436D8"/>
    <w:rsid w:val="00251988"/>
    <w:rsid w:val="0025217C"/>
    <w:rsid w:val="00253080"/>
    <w:rsid w:val="00265632"/>
    <w:rsid w:val="002712D7"/>
    <w:rsid w:val="0028490E"/>
    <w:rsid w:val="00286428"/>
    <w:rsid w:val="002934A4"/>
    <w:rsid w:val="00296DAB"/>
    <w:rsid w:val="002B25A7"/>
    <w:rsid w:val="002D5F1E"/>
    <w:rsid w:val="002F5AAC"/>
    <w:rsid w:val="002F7A62"/>
    <w:rsid w:val="00300997"/>
    <w:rsid w:val="00325D74"/>
    <w:rsid w:val="00331D66"/>
    <w:rsid w:val="003453A9"/>
    <w:rsid w:val="0035322A"/>
    <w:rsid w:val="00355B36"/>
    <w:rsid w:val="00360C1E"/>
    <w:rsid w:val="0036133D"/>
    <w:rsid w:val="0036656D"/>
    <w:rsid w:val="00370985"/>
    <w:rsid w:val="00393E1D"/>
    <w:rsid w:val="003945A7"/>
    <w:rsid w:val="003C3FF2"/>
    <w:rsid w:val="003D672A"/>
    <w:rsid w:val="003E2C18"/>
    <w:rsid w:val="003E5502"/>
    <w:rsid w:val="003E5ED9"/>
    <w:rsid w:val="004069E2"/>
    <w:rsid w:val="00411549"/>
    <w:rsid w:val="00423EF2"/>
    <w:rsid w:val="004241D0"/>
    <w:rsid w:val="00452096"/>
    <w:rsid w:val="00455FAC"/>
    <w:rsid w:val="00457743"/>
    <w:rsid w:val="00462AC3"/>
    <w:rsid w:val="004635A9"/>
    <w:rsid w:val="00480304"/>
    <w:rsid w:val="00481E33"/>
    <w:rsid w:val="00481F61"/>
    <w:rsid w:val="00482C57"/>
    <w:rsid w:val="00483017"/>
    <w:rsid w:val="00483886"/>
    <w:rsid w:val="004A02C8"/>
    <w:rsid w:val="004C1EB5"/>
    <w:rsid w:val="004D3BD9"/>
    <w:rsid w:val="004E2012"/>
    <w:rsid w:val="004E2759"/>
    <w:rsid w:val="0051771C"/>
    <w:rsid w:val="005220FC"/>
    <w:rsid w:val="005333BB"/>
    <w:rsid w:val="00542EA5"/>
    <w:rsid w:val="005461BC"/>
    <w:rsid w:val="00546EC0"/>
    <w:rsid w:val="00555312"/>
    <w:rsid w:val="005578E8"/>
    <w:rsid w:val="00561BC5"/>
    <w:rsid w:val="005707CA"/>
    <w:rsid w:val="00584587"/>
    <w:rsid w:val="005860DD"/>
    <w:rsid w:val="005A1BDC"/>
    <w:rsid w:val="005A37D1"/>
    <w:rsid w:val="005A6F87"/>
    <w:rsid w:val="005B395F"/>
    <w:rsid w:val="005C5FC9"/>
    <w:rsid w:val="005D2324"/>
    <w:rsid w:val="005E14DA"/>
    <w:rsid w:val="005E7A38"/>
    <w:rsid w:val="005F26B5"/>
    <w:rsid w:val="005F47B6"/>
    <w:rsid w:val="005F55C3"/>
    <w:rsid w:val="00602B62"/>
    <w:rsid w:val="00622899"/>
    <w:rsid w:val="0063317B"/>
    <w:rsid w:val="0065393E"/>
    <w:rsid w:val="00654C1A"/>
    <w:rsid w:val="006637B6"/>
    <w:rsid w:val="0066751B"/>
    <w:rsid w:val="00674F9D"/>
    <w:rsid w:val="00686F40"/>
    <w:rsid w:val="006A2586"/>
    <w:rsid w:val="006A270F"/>
    <w:rsid w:val="006A2B72"/>
    <w:rsid w:val="006E73A4"/>
    <w:rsid w:val="006F06F0"/>
    <w:rsid w:val="006F7509"/>
    <w:rsid w:val="00721A39"/>
    <w:rsid w:val="0074027D"/>
    <w:rsid w:val="0075364B"/>
    <w:rsid w:val="007578C7"/>
    <w:rsid w:val="007637EC"/>
    <w:rsid w:val="00773AC1"/>
    <w:rsid w:val="00784FE7"/>
    <w:rsid w:val="007A3336"/>
    <w:rsid w:val="007A4C6C"/>
    <w:rsid w:val="007A68E6"/>
    <w:rsid w:val="007B3BB9"/>
    <w:rsid w:val="007E33A3"/>
    <w:rsid w:val="00805A34"/>
    <w:rsid w:val="00820383"/>
    <w:rsid w:val="00825D6E"/>
    <w:rsid w:val="00832A94"/>
    <w:rsid w:val="00837051"/>
    <w:rsid w:val="00844E38"/>
    <w:rsid w:val="00882246"/>
    <w:rsid w:val="00882B6E"/>
    <w:rsid w:val="0089032B"/>
    <w:rsid w:val="008947F2"/>
    <w:rsid w:val="00895674"/>
    <w:rsid w:val="008B1870"/>
    <w:rsid w:val="008B2817"/>
    <w:rsid w:val="008D1383"/>
    <w:rsid w:val="008D4306"/>
    <w:rsid w:val="008E6EFA"/>
    <w:rsid w:val="008F3D1E"/>
    <w:rsid w:val="008F5BBB"/>
    <w:rsid w:val="008F716D"/>
    <w:rsid w:val="00911C4C"/>
    <w:rsid w:val="009128C1"/>
    <w:rsid w:val="0093290E"/>
    <w:rsid w:val="00934E4E"/>
    <w:rsid w:val="00945FDA"/>
    <w:rsid w:val="0094620C"/>
    <w:rsid w:val="00951E1D"/>
    <w:rsid w:val="0095597A"/>
    <w:rsid w:val="00980A8D"/>
    <w:rsid w:val="00987CE9"/>
    <w:rsid w:val="00994540"/>
    <w:rsid w:val="009A4E8D"/>
    <w:rsid w:val="009A7A80"/>
    <w:rsid w:val="009C2B3E"/>
    <w:rsid w:val="009C361E"/>
    <w:rsid w:val="009C52C7"/>
    <w:rsid w:val="009D1501"/>
    <w:rsid w:val="009D4FBB"/>
    <w:rsid w:val="009D51A7"/>
    <w:rsid w:val="009E2E6B"/>
    <w:rsid w:val="009F6AAA"/>
    <w:rsid w:val="009F7DF5"/>
    <w:rsid w:val="00A04A1F"/>
    <w:rsid w:val="00A054C6"/>
    <w:rsid w:val="00A27902"/>
    <w:rsid w:val="00A30CE6"/>
    <w:rsid w:val="00A364D8"/>
    <w:rsid w:val="00A43A84"/>
    <w:rsid w:val="00A43EB3"/>
    <w:rsid w:val="00A57821"/>
    <w:rsid w:val="00A73790"/>
    <w:rsid w:val="00A73B7E"/>
    <w:rsid w:val="00A75A0C"/>
    <w:rsid w:val="00A81D2C"/>
    <w:rsid w:val="00A83856"/>
    <w:rsid w:val="00AA095E"/>
    <w:rsid w:val="00AB45D2"/>
    <w:rsid w:val="00AD3421"/>
    <w:rsid w:val="00AD363A"/>
    <w:rsid w:val="00AD3B79"/>
    <w:rsid w:val="00AE1ACB"/>
    <w:rsid w:val="00B05D9A"/>
    <w:rsid w:val="00B17EFE"/>
    <w:rsid w:val="00B27C17"/>
    <w:rsid w:val="00B36E85"/>
    <w:rsid w:val="00B4364F"/>
    <w:rsid w:val="00B44136"/>
    <w:rsid w:val="00B45593"/>
    <w:rsid w:val="00B5604B"/>
    <w:rsid w:val="00B64080"/>
    <w:rsid w:val="00B6462F"/>
    <w:rsid w:val="00B66AD1"/>
    <w:rsid w:val="00B70515"/>
    <w:rsid w:val="00B76E0C"/>
    <w:rsid w:val="00B9235C"/>
    <w:rsid w:val="00B9491F"/>
    <w:rsid w:val="00B95528"/>
    <w:rsid w:val="00B960E7"/>
    <w:rsid w:val="00B96A9A"/>
    <w:rsid w:val="00BA271E"/>
    <w:rsid w:val="00BA75E4"/>
    <w:rsid w:val="00BD1E24"/>
    <w:rsid w:val="00BD51CD"/>
    <w:rsid w:val="00BE4E42"/>
    <w:rsid w:val="00BF4B3C"/>
    <w:rsid w:val="00C0527F"/>
    <w:rsid w:val="00C156F7"/>
    <w:rsid w:val="00C225D1"/>
    <w:rsid w:val="00C227A4"/>
    <w:rsid w:val="00C266EE"/>
    <w:rsid w:val="00C34397"/>
    <w:rsid w:val="00C50939"/>
    <w:rsid w:val="00C660AA"/>
    <w:rsid w:val="00C90806"/>
    <w:rsid w:val="00C96A4B"/>
    <w:rsid w:val="00CA5CAF"/>
    <w:rsid w:val="00CB230E"/>
    <w:rsid w:val="00CB69B3"/>
    <w:rsid w:val="00CB7463"/>
    <w:rsid w:val="00CD222C"/>
    <w:rsid w:val="00CD5D9E"/>
    <w:rsid w:val="00CD6153"/>
    <w:rsid w:val="00CE0017"/>
    <w:rsid w:val="00CE2D21"/>
    <w:rsid w:val="00CE468D"/>
    <w:rsid w:val="00CE506F"/>
    <w:rsid w:val="00D13A70"/>
    <w:rsid w:val="00D32712"/>
    <w:rsid w:val="00D53045"/>
    <w:rsid w:val="00D61D25"/>
    <w:rsid w:val="00D61FED"/>
    <w:rsid w:val="00D6210A"/>
    <w:rsid w:val="00D66A0B"/>
    <w:rsid w:val="00D910B7"/>
    <w:rsid w:val="00D92DE8"/>
    <w:rsid w:val="00D96923"/>
    <w:rsid w:val="00DA7C42"/>
    <w:rsid w:val="00DC0D15"/>
    <w:rsid w:val="00DD1ACA"/>
    <w:rsid w:val="00DE571C"/>
    <w:rsid w:val="00DF4268"/>
    <w:rsid w:val="00DF7D22"/>
    <w:rsid w:val="00E01F2A"/>
    <w:rsid w:val="00E105C5"/>
    <w:rsid w:val="00E11D3C"/>
    <w:rsid w:val="00E136F9"/>
    <w:rsid w:val="00E21488"/>
    <w:rsid w:val="00E330CB"/>
    <w:rsid w:val="00E45FBC"/>
    <w:rsid w:val="00E4634E"/>
    <w:rsid w:val="00E55787"/>
    <w:rsid w:val="00E86405"/>
    <w:rsid w:val="00E94FA6"/>
    <w:rsid w:val="00EA34A7"/>
    <w:rsid w:val="00EB7488"/>
    <w:rsid w:val="00EC6B66"/>
    <w:rsid w:val="00ED11CA"/>
    <w:rsid w:val="00ED5C7B"/>
    <w:rsid w:val="00EE3A31"/>
    <w:rsid w:val="00F12122"/>
    <w:rsid w:val="00F13D78"/>
    <w:rsid w:val="00F31E21"/>
    <w:rsid w:val="00F42B37"/>
    <w:rsid w:val="00F43CA6"/>
    <w:rsid w:val="00F521E9"/>
    <w:rsid w:val="00F616AF"/>
    <w:rsid w:val="00F63FF7"/>
    <w:rsid w:val="00F644C2"/>
    <w:rsid w:val="00F6473B"/>
    <w:rsid w:val="00F66772"/>
    <w:rsid w:val="00F70AC2"/>
    <w:rsid w:val="00F73AEB"/>
    <w:rsid w:val="00F81ECB"/>
    <w:rsid w:val="00F85829"/>
    <w:rsid w:val="00F968E2"/>
    <w:rsid w:val="00FA1604"/>
    <w:rsid w:val="00FC5883"/>
    <w:rsid w:val="00FE2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D56B7-C55A-4F94-92D7-9CAB672C4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1002</Words>
  <Characters>5417</Characters>
  <Application>Microsoft Office Word</Application>
  <DocSecurity>4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 Faria Com. e Serv. Ltda.</vt:lpstr>
    </vt:vector>
  </TitlesOfParts>
  <Company/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 Faria Com. e Serv. Ltda.</dc:title>
  <dc:creator>Thereza Marina Cunha M. Cunha</dc:creator>
  <dc:description>Simples Nacional. Ingresso: Estorno do Saldo Credor. Possibilidade de Restituição de Indébito do ICMS Normal Pago</dc:description>
  <cp:lastModifiedBy>Thereza Marina Cunha M. Cunha</cp:lastModifiedBy>
  <cp:revision>2</cp:revision>
  <cp:lastPrinted>2014-10-03T21:35:00Z</cp:lastPrinted>
  <dcterms:created xsi:type="dcterms:W3CDTF">2018-06-20T18:35:00Z</dcterms:created>
  <dcterms:modified xsi:type="dcterms:W3CDTF">2018-06-20T18:35:00Z</dcterms:modified>
  <cp:category>E04-205581-18</cp:category>
</cp:coreProperties>
</file>