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493941" w:rsidTr="00B62E26">
        <w:trPr>
          <w:trHeight w:val="449"/>
        </w:trPr>
        <w:tc>
          <w:tcPr>
            <w:tcW w:w="1474" w:type="dxa"/>
            <w:hideMark/>
          </w:tcPr>
          <w:p w:rsidR="005D4761" w:rsidRPr="00493941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493941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493941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493941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5D4761" w:rsidRDefault="00C1770E" w:rsidP="00C00FD0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difal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87/15</w:t>
            </w:r>
          </w:p>
          <w:p w:rsidR="0026316D" w:rsidRPr="00493941" w:rsidRDefault="0026316D" w:rsidP="00C00FD0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493941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493941">
        <w:rPr>
          <w:rFonts w:ascii="Times New Roman" w:hAnsi="Times New Roman" w:cs="Times New Roman"/>
          <w:b/>
          <w:smallCaps/>
        </w:rPr>
        <w:t xml:space="preserve">consulta nº  </w:t>
      </w:r>
      <w:r w:rsidR="00B650BC">
        <w:rPr>
          <w:rFonts w:ascii="Times New Roman" w:hAnsi="Times New Roman" w:cs="Times New Roman"/>
          <w:b/>
          <w:smallCaps/>
        </w:rPr>
        <w:t>045</w:t>
      </w:r>
      <w:r w:rsidRPr="00493941">
        <w:rPr>
          <w:rFonts w:ascii="Times New Roman" w:hAnsi="Times New Roman" w:cs="Times New Roman"/>
          <w:b/>
          <w:smallCaps/>
        </w:rPr>
        <w:t xml:space="preserve"> /2016</w:t>
      </w:r>
    </w:p>
    <w:p w:rsidR="00B62E26" w:rsidRPr="00243983" w:rsidRDefault="00B62E26" w:rsidP="00C00FD0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62E26" w:rsidRPr="00B62E26" w:rsidRDefault="00B62E26" w:rsidP="003765DA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243983" w:rsidRDefault="00B62E26" w:rsidP="00C00FD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6316D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A empresa consulente, domiciliada no estado d</w:t>
      </w:r>
      <w:r w:rsidR="0026316D">
        <w:rPr>
          <w:rFonts w:ascii="Times New Roman" w:eastAsia="Times New Roman" w:hAnsi="Times New Roman" w:cs="Times New Roman"/>
          <w:lang w:eastAsia="ar-SA"/>
        </w:rPr>
        <w:t>e São Paulo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vem solicitar o entendimento desta Superintendencia de Tributação a cerca </w:t>
      </w:r>
      <w:r w:rsidR="002577BF">
        <w:rPr>
          <w:rFonts w:ascii="Times New Roman" w:eastAsia="Times New Roman" w:hAnsi="Times New Roman" w:cs="Times New Roman"/>
          <w:lang w:eastAsia="ar-SA"/>
        </w:rPr>
        <w:t xml:space="preserve">da responsabilidade pelo recolhimento da substituição tributária e do diferencial de alíquotas em operações interestaduais destinadas a consumidor final, contribuintes ou não. </w:t>
      </w:r>
    </w:p>
    <w:p w:rsidR="00C1770E" w:rsidRPr="00243983" w:rsidRDefault="00C1770E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B4132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que comprovam habilitação do signatário da inicial, bem como com o DARJ referente ao recolhimento da TSE – Taxa de Serviços Estaduais (fls. 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17/33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C1770E">
        <w:rPr>
          <w:rFonts w:ascii="Times New Roman" w:eastAsia="Times New Roman" w:hAnsi="Times New Roman" w:cs="Times New Roman"/>
          <w:lang w:eastAsia="ar-SA"/>
        </w:rPr>
        <w:t>esta Superintendencia</w:t>
      </w:r>
      <w:r w:rsidR="00EB4132">
        <w:rPr>
          <w:rFonts w:ascii="Times New Roman" w:eastAsia="Times New Roman" w:hAnsi="Times New Roman" w:cs="Times New Roman"/>
          <w:lang w:eastAsia="ar-SA"/>
        </w:rPr>
        <w:t>. A consulente não possui Inscrição Estadual no Rio de Janeiro, conforme consulta, pelo CNPJ informado, ao SINTEGRA, realizada em 18/05/2016.</w:t>
      </w:r>
    </w:p>
    <w:p w:rsidR="00EB4132" w:rsidRPr="00243983" w:rsidRDefault="00EB4132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62E26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CONSULTA:</w:t>
      </w:r>
    </w:p>
    <w:p w:rsidR="00C1770E" w:rsidRPr="00243983" w:rsidRDefault="00C1770E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sz w:val="16"/>
          <w:szCs w:val="16"/>
          <w:lang w:eastAsia="ar-SA"/>
        </w:rPr>
      </w:pPr>
    </w:p>
    <w:p w:rsidR="00C1770E" w:rsidRDefault="00C1770E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 – se o entendimento da consulente, exposto nos itens 17 e 18</w:t>
      </w:r>
      <w:r w:rsidR="002577BF">
        <w:rPr>
          <w:rFonts w:ascii="Times New Roman" w:eastAsia="Times New Roman" w:hAnsi="Times New Roman" w:cs="Times New Roman"/>
          <w:lang w:eastAsia="ar-SA"/>
        </w:rPr>
        <w:t xml:space="preserve"> (fls. 15), abaixo reproduzidos, e</w:t>
      </w:r>
      <w:r>
        <w:rPr>
          <w:rFonts w:ascii="Times New Roman" w:eastAsia="Times New Roman" w:hAnsi="Times New Roman" w:cs="Times New Roman"/>
          <w:lang w:eastAsia="ar-SA"/>
        </w:rPr>
        <w:t>stá correto?</w:t>
      </w:r>
    </w:p>
    <w:p w:rsidR="002577BF" w:rsidRPr="00243983" w:rsidRDefault="002577B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577BF" w:rsidRDefault="002577B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577BF">
        <w:rPr>
          <w:rFonts w:ascii="Times New Roman" w:eastAsia="Times New Roman" w:hAnsi="Times New Roman" w:cs="Times New Roman"/>
          <w:i/>
          <w:lang w:eastAsia="ar-SA"/>
        </w:rPr>
        <w:t>17. – Nesse sentido, dada a soberania Constitucional, entende 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2577BF">
        <w:rPr>
          <w:rFonts w:ascii="Times New Roman" w:eastAsia="Times New Roman" w:hAnsi="Times New Roman" w:cs="Times New Roman"/>
          <w:i/>
          <w:lang w:eastAsia="ar-SA"/>
        </w:rPr>
        <w:t xml:space="preserve">Consulente que o artigo 6º da LC 87/1996 e as normas descritas na tabela do item </w:t>
      </w:r>
      <w:proofErr w:type="gramStart"/>
      <w:r w:rsidRPr="002577BF">
        <w:rPr>
          <w:rFonts w:ascii="Times New Roman" w:eastAsia="Times New Roman" w:hAnsi="Times New Roman" w:cs="Times New Roman"/>
          <w:i/>
          <w:lang w:eastAsia="ar-SA"/>
        </w:rPr>
        <w:t>8</w:t>
      </w:r>
      <w:proofErr w:type="gramEnd"/>
      <w:r w:rsidRPr="002577BF">
        <w:rPr>
          <w:rFonts w:ascii="Times New Roman" w:eastAsia="Times New Roman" w:hAnsi="Times New Roman" w:cs="Times New Roman"/>
          <w:i/>
          <w:lang w:eastAsia="ar-SA"/>
        </w:rPr>
        <w:t xml:space="preserve">, acima, teriam sido revogadas tacitamente pela nova sistemática constitucional. Isto porque, no caso das remessas para consumidor final contribuinte do imposto, na própria Constituição Federal, por meio da EC 87/2015, atribui </w:t>
      </w:r>
      <w:proofErr w:type="gramStart"/>
      <w:r w:rsidRPr="002577BF">
        <w:rPr>
          <w:rFonts w:ascii="Times New Roman" w:eastAsia="Times New Roman" w:hAnsi="Times New Roman" w:cs="Times New Roman"/>
          <w:i/>
          <w:lang w:eastAsia="ar-SA"/>
        </w:rPr>
        <w:t>a</w:t>
      </w:r>
      <w:proofErr w:type="gramEnd"/>
      <w:r w:rsidRPr="002577BF">
        <w:rPr>
          <w:rFonts w:ascii="Times New Roman" w:eastAsia="Times New Roman" w:hAnsi="Times New Roman" w:cs="Times New Roman"/>
          <w:i/>
          <w:lang w:eastAsia="ar-SA"/>
        </w:rPr>
        <w:t xml:space="preserve"> condição de substituto tributário responsável pelo recolhimento do DIFAL ao destinatário.</w:t>
      </w:r>
    </w:p>
    <w:p w:rsidR="002577BF" w:rsidRDefault="002577B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18. – De tal modo, entende a </w:t>
      </w:r>
      <w:proofErr w:type="spellStart"/>
      <w:r>
        <w:rPr>
          <w:rFonts w:ascii="Times New Roman" w:eastAsia="Times New Roman" w:hAnsi="Times New Roman" w:cs="Times New Roman"/>
          <w:i/>
          <w:lang w:eastAsia="ar-SA"/>
        </w:rPr>
        <w:t>Consultente</w:t>
      </w:r>
      <w:proofErr w:type="spellEnd"/>
      <w:r>
        <w:rPr>
          <w:rFonts w:ascii="Times New Roman" w:eastAsia="Times New Roman" w:hAnsi="Times New Roman" w:cs="Times New Roman"/>
          <w:i/>
          <w:lang w:eastAsia="ar-SA"/>
        </w:rPr>
        <w:t xml:space="preserve"> que, </w:t>
      </w:r>
      <w:proofErr w:type="spellStart"/>
      <w:r>
        <w:rPr>
          <w:rFonts w:ascii="Times New Roman" w:eastAsia="Times New Roman" w:hAnsi="Times New Roman" w:cs="Times New Roman"/>
          <w:i/>
          <w:lang w:eastAsia="ar-SA"/>
        </w:rPr>
        <w:t>doravente</w:t>
      </w:r>
      <w:proofErr w:type="spellEnd"/>
      <w:r>
        <w:rPr>
          <w:rFonts w:ascii="Times New Roman" w:eastAsia="Times New Roman" w:hAnsi="Times New Roman" w:cs="Times New Roman"/>
          <w:i/>
          <w:lang w:eastAsia="ar-SA"/>
        </w:rPr>
        <w:t xml:space="preserve">, o diferencial de alíquotas devido quando das remessas para consumidores finais contribuintes do ICMS não mais deve ser recolhido pelo remetente – por </w:t>
      </w:r>
      <w:r w:rsidR="002C1FA4">
        <w:rPr>
          <w:rFonts w:ascii="Times New Roman" w:eastAsia="Times New Roman" w:hAnsi="Times New Roman" w:cs="Times New Roman"/>
          <w:i/>
          <w:lang w:eastAsia="ar-SA"/>
        </w:rPr>
        <w:t>substituição tributária, sendo, pois, tal recolhimento de inteira responsabilidade do destinatário.</w:t>
      </w:r>
    </w:p>
    <w:p w:rsidR="002C1FA4" w:rsidRPr="00243983" w:rsidRDefault="002C1FA4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C1770E" w:rsidRPr="00C1770E" w:rsidRDefault="00C1770E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B – Caso negativo, qual procedimentos a ser adotado pela consulente?</w:t>
      </w:r>
    </w:p>
    <w:p w:rsidR="00C1770E" w:rsidRDefault="00C1770E" w:rsidP="00C00FD0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B62E26" w:rsidRDefault="00B62E26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B62E26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B62E26">
        <w:rPr>
          <w:rFonts w:ascii="Times New Roman" w:hAnsi="Times New Roman" w:cs="Times New Roman"/>
          <w:b/>
        </w:rPr>
        <w:t>RESPOSTA</w:t>
      </w:r>
      <w:proofErr w:type="gramEnd"/>
    </w:p>
    <w:p w:rsidR="00B62E26" w:rsidRPr="00243983" w:rsidRDefault="00B62E26" w:rsidP="00C00FD0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7EC" w:rsidRDefault="00B62E26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AC7AC9">
        <w:rPr>
          <w:rFonts w:ascii="Times New Roman" w:hAnsi="Times New Roman" w:cs="Times New Roman"/>
        </w:rPr>
        <w:t>Em relação ao item A o entendimento</w:t>
      </w:r>
      <w:r w:rsidR="001A75C8" w:rsidRPr="00AC7AC9">
        <w:rPr>
          <w:rFonts w:ascii="Times New Roman" w:hAnsi="Times New Roman" w:cs="Times New Roman"/>
        </w:rPr>
        <w:t xml:space="preserve"> da consulente </w:t>
      </w:r>
      <w:r w:rsidR="00AC7AC9" w:rsidRPr="00AC7AC9">
        <w:rPr>
          <w:rFonts w:ascii="Times New Roman" w:hAnsi="Times New Roman" w:cs="Times New Roman"/>
        </w:rPr>
        <w:t>não está</w:t>
      </w:r>
      <w:r w:rsidRPr="00AC7AC9">
        <w:rPr>
          <w:rFonts w:ascii="Times New Roman" w:hAnsi="Times New Roman" w:cs="Times New Roman"/>
        </w:rPr>
        <w:t xml:space="preserve"> correto. </w:t>
      </w:r>
      <w:r w:rsidR="00AC7AC9">
        <w:rPr>
          <w:rFonts w:ascii="Times New Roman" w:hAnsi="Times New Roman" w:cs="Times New Roman"/>
        </w:rPr>
        <w:t xml:space="preserve">A consulente partiu de uma premissa não verdadeira, em relação ao texto constitucional trazido pela Emenda Constitucional 87/2015. </w:t>
      </w:r>
      <w:r w:rsidR="002C1FA4">
        <w:rPr>
          <w:rFonts w:ascii="Times New Roman" w:hAnsi="Times New Roman" w:cs="Times New Roman"/>
        </w:rPr>
        <w:t>O texto constitucional não menciona responsabilidade pela substituição tributária.</w:t>
      </w:r>
      <w:r w:rsidR="006552A3">
        <w:rPr>
          <w:rFonts w:ascii="Times New Roman" w:hAnsi="Times New Roman" w:cs="Times New Roman"/>
        </w:rPr>
        <w:t xml:space="preserve"> </w:t>
      </w:r>
      <w:r w:rsidR="00BD2362" w:rsidRPr="00243983">
        <w:rPr>
          <w:rFonts w:ascii="Times New Roman" w:hAnsi="Times New Roman" w:cs="Times New Roman"/>
          <w:b/>
        </w:rPr>
        <w:t>Não houve alteração na sistemática de retenção do ICMS relativo à substituição tributária com a Emenda 87/15</w:t>
      </w:r>
      <w:r w:rsidR="00BD2362">
        <w:rPr>
          <w:rFonts w:ascii="Times New Roman" w:hAnsi="Times New Roman" w:cs="Times New Roman"/>
        </w:rPr>
        <w:t xml:space="preserve">. </w:t>
      </w:r>
    </w:p>
    <w:p w:rsidR="00BD2362" w:rsidRPr="00243983" w:rsidRDefault="00BD2362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47EC" w:rsidRDefault="001247EC" w:rsidP="001247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texto constitucional, no item </w:t>
      </w:r>
      <w:r w:rsidR="00CD2BA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 Inciso VIII do art. 155, confere ao destinatário a responsabilidade pelo </w:t>
      </w:r>
      <w:r w:rsidR="00243983" w:rsidRPr="00243983">
        <w:rPr>
          <w:rFonts w:ascii="Times New Roman" w:hAnsi="Times New Roman" w:cs="Times New Roman"/>
          <w:b/>
        </w:rPr>
        <w:t>recolhimento</w:t>
      </w:r>
      <w:r>
        <w:rPr>
          <w:rFonts w:ascii="Times New Roman" w:hAnsi="Times New Roman" w:cs="Times New Roman"/>
        </w:rPr>
        <w:t xml:space="preserve"> do imposto correspondente a diferença entre a alíquota interna e interestadual ao destinatário, DIFAL, caso este </w:t>
      </w:r>
      <w:r w:rsidR="00CD2BA5">
        <w:rPr>
          <w:rFonts w:ascii="Times New Roman" w:hAnsi="Times New Roman" w:cs="Times New Roman"/>
        </w:rPr>
        <w:t xml:space="preserve">seja </w:t>
      </w:r>
      <w:r>
        <w:rPr>
          <w:rFonts w:ascii="Times New Roman" w:hAnsi="Times New Roman" w:cs="Times New Roman"/>
        </w:rPr>
        <w:t>contribuinte do imposto.</w:t>
      </w:r>
    </w:p>
    <w:p w:rsidR="001247EC" w:rsidRPr="00243983" w:rsidRDefault="001247EC" w:rsidP="001247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47EC" w:rsidRDefault="001247EC" w:rsidP="001247EC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Reproduzimos abaixo o art. 1º da EC 87/15:</w:t>
      </w:r>
    </w:p>
    <w:p w:rsidR="001247EC" w:rsidRPr="001247EC" w:rsidRDefault="001247EC" w:rsidP="001247EC">
      <w:pPr>
        <w:pStyle w:val="NormalWeb"/>
        <w:tabs>
          <w:tab w:val="left" w:pos="567"/>
        </w:tabs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color w:val="000000"/>
          <w:sz w:val="22"/>
          <w:szCs w:val="22"/>
        </w:rPr>
        <w:t>Art. 1º Os incisos VII e VIII do § 2º do art. 155 da</w:t>
      </w:r>
      <w:r w:rsidRPr="001247EC">
        <w:rPr>
          <w:rStyle w:val="apple-converted-space"/>
          <w:i/>
          <w:color w:val="000000"/>
          <w:sz w:val="22"/>
          <w:szCs w:val="22"/>
        </w:rPr>
        <w:t> </w:t>
      </w:r>
      <w:hyperlink r:id="rId8" w:history="1">
        <w:r w:rsidRPr="001247EC">
          <w:rPr>
            <w:rStyle w:val="Hyperlink"/>
            <w:i/>
            <w:sz w:val="22"/>
            <w:szCs w:val="22"/>
          </w:rPr>
          <w:t>Constituição Federal</w:t>
        </w:r>
      </w:hyperlink>
      <w:r w:rsidRPr="001247EC">
        <w:rPr>
          <w:rStyle w:val="apple-converted-space"/>
          <w:i/>
          <w:color w:val="000000"/>
          <w:sz w:val="22"/>
          <w:szCs w:val="22"/>
        </w:rPr>
        <w:t> </w:t>
      </w:r>
      <w:r w:rsidRPr="001247EC">
        <w:rPr>
          <w:i/>
          <w:color w:val="000000"/>
          <w:sz w:val="22"/>
          <w:szCs w:val="22"/>
        </w:rPr>
        <w:t>passam a vigorar com as seguintes alterações:</w:t>
      </w:r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color w:val="000000"/>
          <w:sz w:val="22"/>
          <w:szCs w:val="22"/>
        </w:rPr>
        <w:t>"Art. 155</w:t>
      </w:r>
      <w:proofErr w:type="gramStart"/>
      <w:r w:rsidRPr="001247EC">
        <w:rPr>
          <w:i/>
          <w:color w:val="000000"/>
          <w:sz w:val="22"/>
          <w:szCs w:val="22"/>
        </w:rPr>
        <w:t>....................................................................................</w:t>
      </w:r>
      <w:proofErr w:type="gramEnd"/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color w:val="000000"/>
          <w:sz w:val="22"/>
          <w:szCs w:val="22"/>
        </w:rPr>
        <w:t>§ 2º</w:t>
      </w:r>
      <w:proofErr w:type="gramStart"/>
      <w:r w:rsidRPr="001247EC">
        <w:rPr>
          <w:i/>
          <w:color w:val="000000"/>
          <w:sz w:val="22"/>
          <w:szCs w:val="22"/>
        </w:rPr>
        <w:t>............................................................................................</w:t>
      </w:r>
      <w:proofErr w:type="gramEnd"/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sz w:val="22"/>
          <w:szCs w:val="22"/>
        </w:rPr>
        <w:t>VII -</w:t>
      </w:r>
      <w:r w:rsidRPr="001247EC">
        <w:rPr>
          <w:rStyle w:val="apple-converted-space"/>
          <w:i/>
          <w:color w:val="000000"/>
          <w:sz w:val="22"/>
          <w:szCs w:val="22"/>
        </w:rPr>
        <w:t> </w:t>
      </w:r>
      <w:r w:rsidRPr="001247EC">
        <w:rPr>
          <w:i/>
          <w:color w:val="000000"/>
          <w:sz w:val="22"/>
          <w:szCs w:val="22"/>
        </w:rPr>
        <w:t xml:space="preserve">nas operações e prestações que destinem bens e serviços </w:t>
      </w:r>
      <w:proofErr w:type="gramStart"/>
      <w:r w:rsidRPr="001247EC">
        <w:rPr>
          <w:i/>
          <w:color w:val="000000"/>
          <w:sz w:val="22"/>
          <w:szCs w:val="22"/>
        </w:rPr>
        <w:t>a consumidor</w:t>
      </w:r>
      <w:proofErr w:type="gramEnd"/>
      <w:r w:rsidRPr="001247EC">
        <w:rPr>
          <w:i/>
          <w:color w:val="000000"/>
          <w:sz w:val="22"/>
          <w:szCs w:val="22"/>
        </w:rPr>
        <w:t xml:space="preserve"> final, contribuinte ou não do imposto, localizado em outro Estado, adotar-se-á a alíquota interestadual e caberá ao Estado de localização do destinatário o imposto correspondente à diferença entre a alíquota interna do Estado destinatário e a alíquota interestadual;</w:t>
      </w:r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sz w:val="22"/>
          <w:szCs w:val="22"/>
        </w:rPr>
        <w:t>VIII -</w:t>
      </w:r>
      <w:r w:rsidRPr="001247EC">
        <w:rPr>
          <w:rStyle w:val="apple-converted-space"/>
          <w:i/>
          <w:color w:val="000000"/>
          <w:sz w:val="22"/>
          <w:szCs w:val="22"/>
        </w:rPr>
        <w:t> </w:t>
      </w:r>
      <w:r w:rsidRPr="001247EC">
        <w:rPr>
          <w:i/>
          <w:color w:val="000000"/>
          <w:sz w:val="22"/>
          <w:szCs w:val="22"/>
        </w:rPr>
        <w:t>a responsabilidade pelo recolhimento do imposto correspondente à diferença entre a alíquota interna e a interestadual de que trata o inciso VII será atribuída:</w:t>
      </w:r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color w:val="000000"/>
          <w:sz w:val="22"/>
          <w:szCs w:val="22"/>
        </w:rPr>
        <w:t>a) ao destinatário, quando este for contribuinte do imposto;</w:t>
      </w:r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r w:rsidRPr="001247EC">
        <w:rPr>
          <w:i/>
          <w:color w:val="000000"/>
          <w:sz w:val="22"/>
          <w:szCs w:val="22"/>
        </w:rPr>
        <w:t>b) ao remetente, quando o destinatário não for contribuinte do imposto;</w:t>
      </w:r>
    </w:p>
    <w:p w:rsidR="001247EC" w:rsidRPr="001247EC" w:rsidRDefault="001247EC" w:rsidP="001247EC">
      <w:pPr>
        <w:pStyle w:val="NormalWeb"/>
        <w:spacing w:before="225" w:beforeAutospacing="0" w:after="225" w:afterAutospacing="0"/>
        <w:ind w:firstLine="709"/>
        <w:jc w:val="both"/>
        <w:rPr>
          <w:i/>
          <w:color w:val="000000"/>
          <w:sz w:val="22"/>
          <w:szCs w:val="22"/>
        </w:rPr>
      </w:pPr>
      <w:proofErr w:type="gramStart"/>
      <w:r w:rsidRPr="001247EC">
        <w:rPr>
          <w:i/>
          <w:color w:val="000000"/>
          <w:sz w:val="22"/>
          <w:szCs w:val="22"/>
        </w:rPr>
        <w:t>.................................................................................................</w:t>
      </w:r>
      <w:proofErr w:type="gramEnd"/>
      <w:r w:rsidRPr="001247EC">
        <w:rPr>
          <w:i/>
          <w:color w:val="000000"/>
          <w:sz w:val="22"/>
          <w:szCs w:val="22"/>
        </w:rPr>
        <w:t>"</w:t>
      </w:r>
    </w:p>
    <w:p w:rsidR="001247EC" w:rsidRDefault="001247EC" w:rsidP="00A20D6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2C1FA4" w:rsidRDefault="00BD2362" w:rsidP="00A20D6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previsão contida na alínea a do inciso VIII do parágrafo 2º do artigo 155 da Constituição Federal </w:t>
      </w:r>
      <w:r w:rsidR="00A20D63" w:rsidRPr="00A20D63">
        <w:rPr>
          <w:rFonts w:ascii="Times New Roman" w:hAnsi="Times New Roman" w:cs="Times New Roman"/>
          <w:b/>
        </w:rPr>
        <w:t>não modificou</w:t>
      </w:r>
      <w:r w:rsidR="00A20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disposto no parágrafo 1º do artigo 6º da Lei </w:t>
      </w:r>
      <w:r>
        <w:rPr>
          <w:rFonts w:ascii="Times New Roman" w:hAnsi="Times New Roman" w:cs="Times New Roman"/>
        </w:rPr>
        <w:lastRenderedPageBreak/>
        <w:t xml:space="preserve">Complementar 87/1996. Trata-se de regra específica de substituição tributária que excepciona a aplicação de regra geral prevista no inciso VII do parágrafo 2º do art. 155 da </w:t>
      </w:r>
      <w:r w:rsidR="00A20D63">
        <w:rPr>
          <w:rFonts w:ascii="Times New Roman" w:hAnsi="Times New Roman" w:cs="Times New Roman"/>
        </w:rPr>
        <w:t>Constituição. Reproduzimos, abaixo, o art. 6º e seu parágrafo 1º da Lei Complementar 87/1996:</w:t>
      </w:r>
    </w:p>
    <w:p w:rsidR="00A20D63" w:rsidRDefault="00A20D63" w:rsidP="00A20D63">
      <w:pPr>
        <w:spacing w:before="100" w:beforeAutospacing="1" w:after="100" w:afterAutospacing="1" w:line="360" w:lineRule="auto"/>
        <w:ind w:firstLine="708"/>
        <w:jc w:val="both"/>
        <w:rPr>
          <w:rFonts w:ascii="Times Roman" w:eastAsia="Times New Roman" w:hAnsi="Times Roman" w:cs="Arial"/>
          <w:i/>
          <w:color w:val="000000"/>
          <w:lang w:eastAsia="pt-BR"/>
        </w:rPr>
      </w:pPr>
      <w:r w:rsidRPr="00A20D63">
        <w:rPr>
          <w:rFonts w:ascii="Times Roman" w:eastAsia="Times New Roman" w:hAnsi="Times Roman" w:cs="Arial"/>
          <w:i/>
          <w:color w:val="000000"/>
          <w:lang w:eastAsia="pt-BR"/>
        </w:rPr>
        <w:t>Art. 6</w:t>
      </w:r>
      <w:r w:rsidRPr="00A20D63">
        <w:rPr>
          <w:rFonts w:ascii="Times Roman" w:eastAsia="Times New Roman" w:hAnsi="Times Roman" w:cs="Arial"/>
          <w:i/>
          <w:color w:val="000000"/>
          <w:u w:val="single"/>
          <w:vertAlign w:val="superscript"/>
          <w:lang w:eastAsia="pt-BR"/>
        </w:rPr>
        <w:t>o</w:t>
      </w:r>
      <w:r w:rsidRPr="00A20D63">
        <w:rPr>
          <w:rFonts w:ascii="Times Roman" w:eastAsia="Times New Roman" w:hAnsi="Times Roman" w:cs="Arial"/>
          <w:i/>
          <w:color w:val="000000"/>
          <w:lang w:eastAsia="pt-BR"/>
        </w:rPr>
        <w:t> Lei estadual poderá atribuir a contribuinte do imposto ou a depositário a qualquer título a responsabilidade pelo seu pagamento, hipótese em que assumirá a condição de substituto tributário.</w:t>
      </w:r>
    </w:p>
    <w:p w:rsidR="00A20D63" w:rsidRPr="00A20D63" w:rsidRDefault="00A20D63" w:rsidP="00A20D63">
      <w:pPr>
        <w:spacing w:before="100" w:beforeAutospacing="1" w:after="100" w:afterAutospacing="1" w:line="360" w:lineRule="auto"/>
        <w:ind w:firstLine="708"/>
        <w:jc w:val="both"/>
        <w:rPr>
          <w:rFonts w:ascii="Times Roman" w:eastAsia="Times New Roman" w:hAnsi="Times Roman" w:cs="Times New Roman"/>
          <w:i/>
          <w:color w:val="000000"/>
          <w:lang w:eastAsia="pt-BR"/>
        </w:rPr>
      </w:pPr>
      <w:r w:rsidRPr="00A20D63">
        <w:rPr>
          <w:rFonts w:ascii="Times Roman" w:eastAsia="Times New Roman" w:hAnsi="Times Roman" w:cs="Arial"/>
          <w:i/>
          <w:color w:val="000000"/>
          <w:lang w:eastAsia="pt-BR"/>
        </w:rPr>
        <w:t>§ 1º A responsabilidade poderá ser atribuída em relação ao imposto incidente sobre uma ou mais operações ou prestações, sejam antecedentes, concomitantes ou subsequentes, inclusive ao valor decorrente da diferença entre alíquotas interna e interestadual nas operações e prestações que destinem bens e serviços a consumidor final localizado em outro Estado, que seja contribuinte do imposto.</w:t>
      </w:r>
    </w:p>
    <w:p w:rsidR="00A20D63" w:rsidRDefault="00A20D63" w:rsidP="00A20D63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Observar que anteriormente à edição da EC 87/15, o inciso VIII do art. 155 da Constituição já previa que o</w:t>
      </w:r>
      <w:r w:rsidR="00243983">
        <w:rPr>
          <w:rFonts w:ascii="Times New Roman" w:hAnsi="Times New Roman" w:cs="Times New Roman"/>
        </w:rPr>
        <w:t xml:space="preserve"> imposto relativo ao</w:t>
      </w:r>
      <w:r>
        <w:rPr>
          <w:rFonts w:ascii="Times New Roman" w:hAnsi="Times New Roman" w:cs="Times New Roman"/>
        </w:rPr>
        <w:t xml:space="preserve"> diferencial de alíquotas caberia ao estado de localização do destinatário, na hipótese do consumidor final do bem ou serviço ser contribuinte do imposto.</w:t>
      </w:r>
    </w:p>
    <w:p w:rsidR="00A20D63" w:rsidRDefault="00A20D63" w:rsidP="00A20D63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F077F7" w:rsidRDefault="00331266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empresa</w:t>
      </w:r>
      <w:r w:rsidR="002C1FA4">
        <w:rPr>
          <w:rFonts w:ascii="Times New Roman" w:hAnsi="Times New Roman" w:cs="Times New Roman"/>
        </w:rPr>
        <w:t xml:space="preserve"> consulente</w:t>
      </w:r>
      <w:r>
        <w:rPr>
          <w:rFonts w:ascii="Times New Roman" w:hAnsi="Times New Roman" w:cs="Times New Roman"/>
        </w:rPr>
        <w:t xml:space="preserve"> </w:t>
      </w:r>
      <w:r w:rsidR="00A20D6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confunde</w:t>
      </w:r>
      <w:r w:rsidR="00A20D6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6552A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responsabilidade pela apuração e pagamento do ICMS relativo ao diferencial de alíquotas com </w:t>
      </w:r>
      <w:r w:rsidR="006552A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responsabilidade pela </w:t>
      </w:r>
      <w:r w:rsidR="002C1FA4">
        <w:rPr>
          <w:rFonts w:ascii="Times New Roman" w:hAnsi="Times New Roman" w:cs="Times New Roman"/>
        </w:rPr>
        <w:t xml:space="preserve">apuração e pagamento do imposto retido por </w:t>
      </w:r>
      <w:r>
        <w:rPr>
          <w:rFonts w:ascii="Times New Roman" w:hAnsi="Times New Roman" w:cs="Times New Roman"/>
        </w:rPr>
        <w:t xml:space="preserve">substituição tributária. </w:t>
      </w:r>
      <w:r w:rsidR="00F077F7">
        <w:rPr>
          <w:rFonts w:ascii="Times New Roman" w:hAnsi="Times New Roman" w:cs="Times New Roman"/>
        </w:rPr>
        <w:t xml:space="preserve">Embora o </w:t>
      </w:r>
      <w:r>
        <w:rPr>
          <w:rFonts w:ascii="Times New Roman" w:hAnsi="Times New Roman" w:cs="Times New Roman"/>
        </w:rPr>
        <w:t>regime de substituição tributária pressup</w:t>
      </w:r>
      <w:r w:rsidR="00F077F7">
        <w:rPr>
          <w:rFonts w:ascii="Times New Roman" w:hAnsi="Times New Roman" w:cs="Times New Roman"/>
        </w:rPr>
        <w:t xml:space="preserve">onha </w:t>
      </w:r>
      <w:r>
        <w:rPr>
          <w:rFonts w:ascii="Times New Roman" w:hAnsi="Times New Roman" w:cs="Times New Roman"/>
        </w:rPr>
        <w:t xml:space="preserve">sempre </w:t>
      </w:r>
      <w:r w:rsidRPr="00F077F7">
        <w:rPr>
          <w:rFonts w:ascii="Times New Roman" w:hAnsi="Times New Roman" w:cs="Times New Roman"/>
        </w:rPr>
        <w:t>a existência de uma operação subsequente com a mercadoria</w:t>
      </w:r>
      <w:r>
        <w:rPr>
          <w:rFonts w:ascii="Times New Roman" w:hAnsi="Times New Roman" w:cs="Times New Roman"/>
        </w:rPr>
        <w:t>, pois se cobra</w:t>
      </w:r>
      <w:r w:rsidR="006552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antecipadamente</w:t>
      </w:r>
      <w:r w:rsidR="006552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imposto dessa futura operação</w:t>
      </w:r>
      <w:r w:rsidR="00F077F7">
        <w:rPr>
          <w:rFonts w:ascii="Times New Roman" w:hAnsi="Times New Roman" w:cs="Times New Roman"/>
        </w:rPr>
        <w:t>, nos casos de diferencial de alíquotas, em operações interestaduais entre contribuintes que destinem mercadorias para ativo fixo ou consumo, é possível a sua cobrança por substituição tributária, conforme previsto no parágrafo 1º do art. 6º da LC 87/1996.</w:t>
      </w:r>
    </w:p>
    <w:p w:rsidR="00A20D63" w:rsidRDefault="00A20D63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C3743A" w:rsidRPr="00472CE3" w:rsidRDefault="00F077F7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Cabe ressaltar que o DIFAL, em operações entre contribuintes, só </w:t>
      </w:r>
      <w:r w:rsidR="00331266">
        <w:rPr>
          <w:rFonts w:ascii="Times New Roman" w:hAnsi="Times New Roman" w:cs="Times New Roman"/>
        </w:rPr>
        <w:t>existe em operações que destinem mercadorias a ativo fixo ou a uso e consumo.</w:t>
      </w:r>
      <w:r w:rsidR="002D7E70">
        <w:rPr>
          <w:rFonts w:ascii="Times New Roman" w:hAnsi="Times New Roman" w:cs="Times New Roman"/>
        </w:rPr>
        <w:t xml:space="preserve"> </w:t>
      </w:r>
      <w:r w:rsidR="002D7E70">
        <w:rPr>
          <w:rFonts w:ascii="Times New Roman" w:hAnsi="Times New Roman" w:cs="Times New Roman"/>
        </w:rPr>
        <w:tab/>
        <w:t xml:space="preserve">Nos outros tipos de operação não tem como existir diferencial de alíquotas. </w:t>
      </w:r>
      <w:r w:rsidR="005172AA">
        <w:rPr>
          <w:rFonts w:ascii="Times New Roman" w:hAnsi="Times New Roman" w:cs="Times New Roman"/>
        </w:rPr>
        <w:t xml:space="preserve"> Cabe ao destinatário do RJ a responsabilidade </w:t>
      </w:r>
      <w:r w:rsidR="005172AA">
        <w:rPr>
          <w:rFonts w:ascii="Times New Roman" w:hAnsi="Times New Roman" w:cs="Times New Roman"/>
        </w:rPr>
        <w:lastRenderedPageBreak/>
        <w:t>pela apuração e pagame</w:t>
      </w:r>
      <w:r w:rsidR="00472CE3">
        <w:rPr>
          <w:rFonts w:ascii="Times New Roman" w:hAnsi="Times New Roman" w:cs="Times New Roman"/>
        </w:rPr>
        <w:t xml:space="preserve">nto do diferencial de alíquotas, </w:t>
      </w:r>
      <w:r w:rsidR="00472CE3" w:rsidRPr="00472CE3">
        <w:rPr>
          <w:rFonts w:ascii="Times New Roman" w:hAnsi="Times New Roman" w:cs="Times New Roman"/>
          <w:b/>
        </w:rPr>
        <w:t>salvo se esta tiver sido atribuída ao remetente por força de Convênio ou Protocolo.</w:t>
      </w:r>
    </w:p>
    <w:p w:rsidR="00C3743A" w:rsidRDefault="00C3743A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C3743A" w:rsidRDefault="002D7E70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6552A3">
        <w:rPr>
          <w:rFonts w:ascii="Times New Roman" w:hAnsi="Times New Roman" w:cs="Times New Roman"/>
        </w:rPr>
        <w:t xml:space="preserve">real </w:t>
      </w:r>
      <w:r>
        <w:rPr>
          <w:rFonts w:ascii="Times New Roman" w:hAnsi="Times New Roman" w:cs="Times New Roman"/>
        </w:rPr>
        <w:t>objetivo da EC</w:t>
      </w:r>
      <w:r w:rsidR="006552A3">
        <w:rPr>
          <w:rFonts w:ascii="Times New Roman" w:hAnsi="Times New Roman" w:cs="Times New Roman"/>
        </w:rPr>
        <w:t xml:space="preserve"> 87/15 foi “</w:t>
      </w:r>
      <w:r w:rsidR="00C3743A">
        <w:rPr>
          <w:rFonts w:ascii="Times New Roman" w:hAnsi="Times New Roman" w:cs="Times New Roman"/>
        </w:rPr>
        <w:t>repartir</w:t>
      </w:r>
      <w:r w:rsidR="006552A3">
        <w:rPr>
          <w:rFonts w:ascii="Times New Roman" w:hAnsi="Times New Roman" w:cs="Times New Roman"/>
        </w:rPr>
        <w:t>” o ICMS nas operações interestaduais destinadas a não contribuintes, que era todo do estado de origem, e atualmente, parte vai para o estado de destino</w:t>
      </w:r>
      <w:r w:rsidR="00C3743A">
        <w:rPr>
          <w:rFonts w:ascii="Times New Roman" w:hAnsi="Times New Roman" w:cs="Times New Roman"/>
        </w:rPr>
        <w:t>. Essa parte que vai para o estado de destino é exatamente o diferencial entre as alíquotas interna e interestadual. Ressalvamos apenas a existência de um período de transição, de partilha dessa diferencial, entre os estados de origem e dest</w:t>
      </w:r>
      <w:r w:rsidR="00772AE2">
        <w:rPr>
          <w:rFonts w:ascii="Times New Roman" w:hAnsi="Times New Roman" w:cs="Times New Roman"/>
        </w:rPr>
        <w:t xml:space="preserve">ino, previsto no </w:t>
      </w:r>
      <w:r w:rsidR="00AE4E82">
        <w:rPr>
          <w:rFonts w:ascii="Times New Roman" w:hAnsi="Times New Roman" w:cs="Times New Roman"/>
        </w:rPr>
        <w:t>art. 99 do Ato das Disposições Constitucionais Transitórias.</w:t>
      </w:r>
    </w:p>
    <w:p w:rsidR="00832AB0" w:rsidRDefault="00832AB0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832AB0" w:rsidRDefault="00832AB0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consulente </w:t>
      </w:r>
      <w:r w:rsidR="008C01D1">
        <w:rPr>
          <w:rFonts w:ascii="Times New Roman" w:hAnsi="Times New Roman" w:cs="Times New Roman"/>
        </w:rPr>
        <w:t>sempre deverá</w:t>
      </w:r>
      <w:r>
        <w:rPr>
          <w:rFonts w:ascii="Times New Roman" w:hAnsi="Times New Roman" w:cs="Times New Roman"/>
        </w:rPr>
        <w:t xml:space="preserve"> </w:t>
      </w:r>
      <w:r w:rsidR="008C01D1">
        <w:rPr>
          <w:rFonts w:ascii="Times New Roman" w:hAnsi="Times New Roman" w:cs="Times New Roman"/>
        </w:rPr>
        <w:t xml:space="preserve">reter, a favor do RJ, o ICMS da Substituição Tributária, caso se trate de mercadoria sujeita a tal regime de tributação, </w:t>
      </w:r>
      <w:r>
        <w:rPr>
          <w:rFonts w:ascii="Times New Roman" w:hAnsi="Times New Roman" w:cs="Times New Roman"/>
        </w:rPr>
        <w:t>nas operações interestaduais para destinatários contribuintes do imposto do RJ</w:t>
      </w:r>
      <w:r w:rsidR="00243983">
        <w:rPr>
          <w:rFonts w:ascii="Times New Roman" w:hAnsi="Times New Roman" w:cs="Times New Roman"/>
        </w:rPr>
        <w:t>. Fica responsável também pela parcela relativa ao diferencial de alíquotas em operações interestaduais</w:t>
      </w:r>
      <w:r w:rsidR="00472CE3">
        <w:rPr>
          <w:rFonts w:ascii="Times New Roman" w:hAnsi="Times New Roman" w:cs="Times New Roman"/>
        </w:rPr>
        <w:t>, caso esta seja atribuída por Convênio ou Protocolo celebrado no âmbito do Confaz.</w:t>
      </w:r>
    </w:p>
    <w:p w:rsidR="008C01D1" w:rsidRDefault="008C01D1" w:rsidP="00EB413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1A75C8" w:rsidRPr="008C01D1" w:rsidRDefault="00C00FD0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8C01D1">
        <w:rPr>
          <w:rFonts w:ascii="Times New Roman" w:hAnsi="Times New Roman" w:cs="Times New Roman"/>
        </w:rPr>
        <w:t xml:space="preserve">Quanto ao item B da consulta consideramos prejudicado em vistas do acima explanado. </w:t>
      </w:r>
    </w:p>
    <w:p w:rsidR="004C464A" w:rsidRPr="008C01D1" w:rsidRDefault="004C464A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140A53" w:rsidRDefault="00B62E26" w:rsidP="00140A53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8C01D1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8C01D1">
        <w:rPr>
          <w:rFonts w:ascii="Times New Roman" w:hAnsi="Times New Roman" w:cs="Times New Roman"/>
        </w:rPr>
        <w:t xml:space="preserve"> ou seja</w:t>
      </w:r>
      <w:proofErr w:type="gramEnd"/>
      <w:r w:rsidRPr="008C01D1">
        <w:rPr>
          <w:rFonts w:ascii="Times New Roman" w:hAnsi="Times New Roman" w:cs="Times New Roman"/>
        </w:rPr>
        <w:t xml:space="preserve"> editada norma superveniente dispondo de forma contrária.</w:t>
      </w:r>
    </w:p>
    <w:p w:rsidR="00B62E26" w:rsidRPr="003765DA" w:rsidRDefault="00B62E26" w:rsidP="00140A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>CCJT, em</w:t>
      </w:r>
      <w:proofErr w:type="gramStart"/>
      <w:r w:rsidRPr="003765DA">
        <w:rPr>
          <w:rFonts w:ascii="Times New Roman" w:eastAsia="Calibri" w:hAnsi="Times New Roman" w:cs="Times New Roman"/>
        </w:rPr>
        <w:t xml:space="preserve"> </w:t>
      </w:r>
      <w:r w:rsidR="0026316D" w:rsidRPr="003765DA">
        <w:rPr>
          <w:rFonts w:ascii="Times New Roman" w:eastAsia="Calibri" w:hAnsi="Times New Roman" w:cs="Times New Roman"/>
        </w:rPr>
        <w:t xml:space="preserve">  </w:t>
      </w:r>
      <w:r w:rsidR="00140A53">
        <w:rPr>
          <w:rFonts w:ascii="Times New Roman" w:eastAsia="Calibri" w:hAnsi="Times New Roman" w:cs="Times New Roman"/>
        </w:rPr>
        <w:t xml:space="preserve"> </w:t>
      </w:r>
      <w:proofErr w:type="gramEnd"/>
      <w:r w:rsidRPr="003765DA">
        <w:rPr>
          <w:rFonts w:ascii="Times New Roman" w:eastAsia="Calibri" w:hAnsi="Times New Roman" w:cs="Times New Roman"/>
        </w:rPr>
        <w:t>de maio de 20</w:t>
      </w:r>
      <w:r w:rsidR="00140A53"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p w:rsidR="00B62E26" w:rsidRPr="003765DA" w:rsidRDefault="00B62E26" w:rsidP="00140A5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B62E26" w:rsidRPr="00376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3C" w:rsidRDefault="008A793C" w:rsidP="00844903">
      <w:pPr>
        <w:spacing w:after="0" w:line="240" w:lineRule="auto"/>
      </w:pPr>
      <w:r>
        <w:separator/>
      </w:r>
    </w:p>
  </w:endnote>
  <w:endnote w:type="continuationSeparator" w:id="0">
    <w:p w:rsidR="008A793C" w:rsidRDefault="008A793C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9" w:rsidRDefault="004F28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9" w:rsidRDefault="004F28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9" w:rsidRDefault="004F28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3C" w:rsidRDefault="008A793C" w:rsidP="00844903">
      <w:pPr>
        <w:spacing w:after="0" w:line="240" w:lineRule="auto"/>
      </w:pPr>
      <w:r>
        <w:separator/>
      </w:r>
    </w:p>
  </w:footnote>
  <w:footnote w:type="continuationSeparator" w:id="0">
    <w:p w:rsidR="008A793C" w:rsidRDefault="008A793C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9" w:rsidRDefault="004F28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61B00" wp14:editId="0DE6C624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Processo E-04/ 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058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/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39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28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04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Processo E-04/ </w:t>
                    </w:r>
                    <w:r w:rsidR="00C1770E">
                      <w:rPr>
                        <w:rFonts w:ascii="Times New Roman" w:hAnsi="Times New Roman" w:cs="Times New Roman"/>
                      </w:rPr>
                      <w:t>058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/</w:t>
                    </w:r>
                    <w:r w:rsidR="00C1770E">
                      <w:rPr>
                        <w:rFonts w:ascii="Times New Roman" w:hAnsi="Times New Roman" w:cs="Times New Roman"/>
                      </w:rPr>
                      <w:t>39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C1770E">
                      <w:rPr>
                        <w:rFonts w:ascii="Times New Roman" w:hAnsi="Times New Roman" w:cs="Times New Roman"/>
                      </w:rPr>
                      <w:t>28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</w:t>
                    </w:r>
                    <w:r w:rsidR="00C1770E">
                      <w:rPr>
                        <w:rFonts w:ascii="Times New Roman" w:hAnsi="Times New Roman" w:cs="Times New Roman"/>
                      </w:rPr>
                      <w:t>04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94BFF35" wp14:editId="238A93EF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9" w:rsidRDefault="004F28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B1962"/>
    <w:rsid w:val="00101BC0"/>
    <w:rsid w:val="001064CE"/>
    <w:rsid w:val="001247EC"/>
    <w:rsid w:val="00140A53"/>
    <w:rsid w:val="001A75C8"/>
    <w:rsid w:val="001E6D22"/>
    <w:rsid w:val="002210D2"/>
    <w:rsid w:val="00243983"/>
    <w:rsid w:val="002577BF"/>
    <w:rsid w:val="0026316D"/>
    <w:rsid w:val="002A7F8B"/>
    <w:rsid w:val="002C1FA4"/>
    <w:rsid w:val="002D4397"/>
    <w:rsid w:val="002D7E70"/>
    <w:rsid w:val="002E027C"/>
    <w:rsid w:val="00331266"/>
    <w:rsid w:val="003765DA"/>
    <w:rsid w:val="003D45F0"/>
    <w:rsid w:val="00404318"/>
    <w:rsid w:val="0043044B"/>
    <w:rsid w:val="00472CE3"/>
    <w:rsid w:val="00493941"/>
    <w:rsid w:val="004C464A"/>
    <w:rsid w:val="004F2849"/>
    <w:rsid w:val="0051048E"/>
    <w:rsid w:val="005172AA"/>
    <w:rsid w:val="00534904"/>
    <w:rsid w:val="005357B0"/>
    <w:rsid w:val="0054185F"/>
    <w:rsid w:val="005B0F1D"/>
    <w:rsid w:val="005D4761"/>
    <w:rsid w:val="005D788A"/>
    <w:rsid w:val="00623078"/>
    <w:rsid w:val="006552A3"/>
    <w:rsid w:val="00655831"/>
    <w:rsid w:val="006B2C82"/>
    <w:rsid w:val="007132A1"/>
    <w:rsid w:val="00772AE2"/>
    <w:rsid w:val="007D0F8B"/>
    <w:rsid w:val="008068DA"/>
    <w:rsid w:val="00832918"/>
    <w:rsid w:val="00832AB0"/>
    <w:rsid w:val="00844903"/>
    <w:rsid w:val="008A11BA"/>
    <w:rsid w:val="008A793C"/>
    <w:rsid w:val="008C01D1"/>
    <w:rsid w:val="008F5EC4"/>
    <w:rsid w:val="009075B6"/>
    <w:rsid w:val="00992AB3"/>
    <w:rsid w:val="0099500E"/>
    <w:rsid w:val="009C7AE1"/>
    <w:rsid w:val="00A03F99"/>
    <w:rsid w:val="00A20B57"/>
    <w:rsid w:val="00A20D63"/>
    <w:rsid w:val="00A66948"/>
    <w:rsid w:val="00AB6B5A"/>
    <w:rsid w:val="00AC7AC9"/>
    <w:rsid w:val="00AD4D66"/>
    <w:rsid w:val="00AD6E8C"/>
    <w:rsid w:val="00AE4E82"/>
    <w:rsid w:val="00B452E2"/>
    <w:rsid w:val="00B50F8D"/>
    <w:rsid w:val="00B56947"/>
    <w:rsid w:val="00B62E26"/>
    <w:rsid w:val="00B64C37"/>
    <w:rsid w:val="00B650BC"/>
    <w:rsid w:val="00BD2362"/>
    <w:rsid w:val="00BE3A00"/>
    <w:rsid w:val="00C00FD0"/>
    <w:rsid w:val="00C1770E"/>
    <w:rsid w:val="00C3743A"/>
    <w:rsid w:val="00C57499"/>
    <w:rsid w:val="00CD2BA5"/>
    <w:rsid w:val="00EA18AD"/>
    <w:rsid w:val="00EB4132"/>
    <w:rsid w:val="00F077F7"/>
    <w:rsid w:val="00F1472C"/>
    <w:rsid w:val="00FA0E3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2016-06-06T18:06:00Z</cp:lastPrinted>
  <dcterms:created xsi:type="dcterms:W3CDTF">2016-06-23T19:39:00Z</dcterms:created>
  <dcterms:modified xsi:type="dcterms:W3CDTF">2016-06-23T20:15:00Z</dcterms:modified>
</cp:coreProperties>
</file>