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DF4525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F4525" w:rsidRPr="006F06F0" w:rsidRDefault="00DF4525" w:rsidP="00594994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525" w:rsidRPr="006F06F0" w:rsidRDefault="00DF4525" w:rsidP="00594994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F4525" w:rsidRPr="009114C8" w:rsidRDefault="00C21A83" w:rsidP="00C21A83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Tributação - </w:t>
            </w:r>
            <w:r w:rsidR="00AB04BB" w:rsidRPr="00AB04BB">
              <w:rPr>
                <w:rFonts w:ascii="Times New Roman" w:hAnsi="Times New Roman"/>
                <w:szCs w:val="22"/>
              </w:rPr>
              <w:t>“outras frações do sangue, produtos imunológicos modificados, mesmo obtidos por via biotecnológica”, classificados na posição 30.02 da NCM/SH</w:t>
            </w:r>
            <w:r w:rsidR="00B33AB1" w:rsidRPr="00484878">
              <w:rPr>
                <w:rFonts w:ascii="Times New Roman" w:hAnsi="Times New Roman"/>
                <w:szCs w:val="22"/>
              </w:rPr>
              <w:t>.</w:t>
            </w:r>
            <w:r w:rsidR="00422832">
              <w:rPr>
                <w:rFonts w:ascii="Times New Roman" w:hAnsi="Times New Roman"/>
                <w:szCs w:val="22"/>
              </w:rPr>
              <w:t xml:space="preserve"> </w:t>
            </w:r>
            <w:r w:rsidRPr="00422832">
              <w:rPr>
                <w:rFonts w:ascii="Times New Roman" w:hAnsi="Times New Roman"/>
                <w:szCs w:val="22"/>
              </w:rPr>
              <w:t>O produto está sujeito ao regime de substituição tributária no Estado do Rio de Janeiro nas operações internas e nas aquisições de mercadorias procedentes de outra unidade federada por contribuintes localizados no estado do rio de janeiro</w:t>
            </w:r>
            <w:r w:rsidR="00422832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51768F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D47680" w:rsidRPr="003C74CE" w:rsidRDefault="00D47680" w:rsidP="00C21A83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              </w:t>
            </w:r>
            <w:r w:rsidR="00C21A83">
              <w:rPr>
                <w:rFonts w:ascii="Times New Roman" w:hAnsi="Times New Roman"/>
                <w:szCs w:val="22"/>
              </w:rPr>
              <w:t>045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E86525">
              <w:rPr>
                <w:rFonts w:ascii="Times New Roman" w:hAnsi="Times New Roman"/>
                <w:szCs w:val="22"/>
              </w:rPr>
              <w:t>7</w:t>
            </w:r>
          </w:p>
        </w:tc>
      </w:tr>
    </w:tbl>
    <w:p w:rsidR="0044157F" w:rsidRPr="0051768F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14"/>
          <w:szCs w:val="22"/>
        </w:rPr>
      </w:pPr>
    </w:p>
    <w:p w:rsidR="003C74CE" w:rsidRPr="0051768F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16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FA6742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4"/>
        </w:rPr>
      </w:pPr>
    </w:p>
    <w:p w:rsidR="00A14030" w:rsidRPr="00AB04BB" w:rsidRDefault="00A14030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vem solicitar </w:t>
      </w:r>
      <w:r w:rsidRPr="00084116">
        <w:rPr>
          <w:b/>
          <w:sz w:val="22"/>
          <w:szCs w:val="22"/>
        </w:rPr>
        <w:t xml:space="preserve">o </w:t>
      </w:r>
      <w:r w:rsidRPr="001E4026">
        <w:rPr>
          <w:b/>
          <w:sz w:val="22"/>
          <w:szCs w:val="22"/>
        </w:rPr>
        <w:t xml:space="preserve">entendimento desta Superintendência de Tributação </w:t>
      </w:r>
      <w:r w:rsidR="008707A4" w:rsidRPr="00AB04BB">
        <w:rPr>
          <w:b/>
          <w:sz w:val="22"/>
          <w:szCs w:val="22"/>
        </w:rPr>
        <w:t>sobre</w:t>
      </w:r>
      <w:r w:rsidR="00AB04BB" w:rsidRPr="00AB04BB">
        <w:rPr>
          <w:b/>
          <w:sz w:val="22"/>
          <w:szCs w:val="22"/>
        </w:rPr>
        <w:t xml:space="preserve"> a sujeição ao regime de substituição tributária do produto “outras frações do sangue, produtos imunológicos modificados, mesmo obtidos por via biotecnológica”, classificados na posição 30.02 da NCM/SH</w:t>
      </w:r>
      <w:r w:rsidRPr="00AB04BB">
        <w:rPr>
          <w:sz w:val="22"/>
          <w:szCs w:val="22"/>
        </w:rPr>
        <w:t>.</w:t>
      </w:r>
    </w:p>
    <w:p w:rsidR="0023305D" w:rsidRDefault="00E3758B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 consulente alega divergência entre o disposto no Anexo I do Livro II do RICMS-RJ/00 e no Protocolo ICMS 76/14, ao passo que a redação dos subitens 10.18 e 10.19 do Anexo I do mencionado Livro II dispõem “</w:t>
      </w:r>
      <w:r w:rsidRPr="00E3758B">
        <w:rPr>
          <w:sz w:val="22"/>
          <w:szCs w:val="22"/>
          <w:u w:val="single"/>
        </w:rPr>
        <w:t>Antissoro, outras frações do sangue, produtos imunológicos modificados, mesmo obtidos por via biotecnológica, exceto para uso veterinário</w:t>
      </w:r>
      <w:r>
        <w:rPr>
          <w:sz w:val="22"/>
          <w:szCs w:val="22"/>
        </w:rPr>
        <w:t>” e o item I do Anexo Único do Protocolo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ICMS 76/14 dispõe “</w:t>
      </w:r>
      <w:r w:rsidRPr="00E3758B">
        <w:rPr>
          <w:sz w:val="22"/>
          <w:szCs w:val="22"/>
          <w:u w:val="single"/>
        </w:rPr>
        <w:t>Soros e vacinas, exceto para uso veterinário</w:t>
      </w:r>
      <w:r>
        <w:rPr>
          <w:sz w:val="22"/>
          <w:szCs w:val="22"/>
        </w:rPr>
        <w:t>”(fl. 5).</w:t>
      </w:r>
    </w:p>
    <w:p w:rsidR="00E3758B" w:rsidRDefault="00E3758B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Diante disso, a consulente “</w:t>
      </w:r>
      <w:r>
        <w:rPr>
          <w:i/>
          <w:sz w:val="22"/>
          <w:szCs w:val="22"/>
        </w:rPr>
        <w:t>entende que, por ser posterior ao RICMS/RJ e por ser mais específico quanto à sujeição ou não dos produtos farmacêuticos</w:t>
      </w:r>
      <w:r w:rsidR="00D454A2">
        <w:rPr>
          <w:i/>
          <w:sz w:val="22"/>
          <w:szCs w:val="22"/>
        </w:rPr>
        <w:t xml:space="preserve">, soros e vacinas de uso humano, o Protocolo ICMS n° 76/14 deveria prevalecer sobre as disposições regulamentares. Entretanto, </w:t>
      </w:r>
      <w:r w:rsidR="00D454A2" w:rsidRPr="004D0B04">
        <w:rPr>
          <w:i/>
          <w:sz w:val="22"/>
          <w:szCs w:val="22"/>
        </w:rPr>
        <w:t>considerando que as duas normas encontram-se vigentes e dispõem em sentido diametralmente opostos, como demonstrado acima, a presente Consulta tem o intuito de esclarecer o procedimento a</w:t>
      </w:r>
      <w:r w:rsidR="00D454A2">
        <w:rPr>
          <w:i/>
          <w:sz w:val="22"/>
          <w:szCs w:val="22"/>
        </w:rPr>
        <w:t xml:space="preserve"> ser observado para os produtos classificados</w:t>
      </w:r>
      <w:proofErr w:type="gramStart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”</w:t>
      </w:r>
      <w:proofErr w:type="gramEnd"/>
      <w:r>
        <w:rPr>
          <w:sz w:val="22"/>
          <w:szCs w:val="22"/>
        </w:rPr>
        <w:t>.</w:t>
      </w:r>
    </w:p>
    <w:p w:rsidR="00A14030" w:rsidRDefault="00A14030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1E4026">
        <w:rPr>
          <w:sz w:val="22"/>
          <w:szCs w:val="22"/>
        </w:rPr>
        <w:t>O processo encontra-se instruído com</w:t>
      </w:r>
      <w:r w:rsidR="00A32F57" w:rsidRPr="00A32F57">
        <w:rPr>
          <w:sz w:val="22"/>
          <w:szCs w:val="22"/>
        </w:rPr>
        <w:t xml:space="preserve"> </w:t>
      </w:r>
      <w:r w:rsidR="00A32F57" w:rsidRPr="004F477C">
        <w:rPr>
          <w:sz w:val="22"/>
          <w:szCs w:val="22"/>
        </w:rPr>
        <w:t>cópias reprográficas que comprovam a habilitação do signatári</w:t>
      </w:r>
      <w:r w:rsidR="00A32F57">
        <w:rPr>
          <w:sz w:val="22"/>
          <w:szCs w:val="22"/>
        </w:rPr>
        <w:t>o da petição inicial (fls. 14/30</w:t>
      </w:r>
      <w:r w:rsidR="00A32F57" w:rsidRPr="004F477C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8D0CD7">
        <w:rPr>
          <w:sz w:val="22"/>
          <w:szCs w:val="22"/>
        </w:rPr>
        <w:t>bem como</w:t>
      </w:r>
      <w:r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com</w:t>
      </w:r>
      <w:r w:rsidR="00A32F57" w:rsidRPr="00A32F57">
        <w:rPr>
          <w:sz w:val="22"/>
          <w:szCs w:val="22"/>
        </w:rPr>
        <w:t xml:space="preserve"> </w:t>
      </w:r>
      <w:r w:rsidR="00A32F57" w:rsidRPr="001E4026">
        <w:rPr>
          <w:sz w:val="22"/>
          <w:szCs w:val="22"/>
        </w:rPr>
        <w:t>DARJ referente ao recolhimen</w:t>
      </w:r>
      <w:r w:rsidR="00A32F57" w:rsidRPr="008D0CD7">
        <w:rPr>
          <w:sz w:val="22"/>
          <w:szCs w:val="22"/>
        </w:rPr>
        <w:t>to da taxa de serviços Estaduais (fl</w:t>
      </w:r>
      <w:r w:rsidR="00A32F57">
        <w:rPr>
          <w:sz w:val="22"/>
          <w:szCs w:val="22"/>
        </w:rPr>
        <w:t>s</w:t>
      </w:r>
      <w:r w:rsidR="00A32F57" w:rsidRPr="008D0CD7">
        <w:rPr>
          <w:sz w:val="22"/>
          <w:szCs w:val="22"/>
        </w:rPr>
        <w:t xml:space="preserve">. </w:t>
      </w:r>
      <w:r w:rsidR="00A32F57">
        <w:rPr>
          <w:sz w:val="22"/>
          <w:szCs w:val="22"/>
        </w:rPr>
        <w:t>32/34)</w:t>
      </w:r>
      <w:r>
        <w:rPr>
          <w:sz w:val="22"/>
          <w:szCs w:val="22"/>
        </w:rPr>
        <w:t>.</w:t>
      </w:r>
    </w:p>
    <w:p w:rsidR="0023305D" w:rsidRDefault="0023305D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AFE-06 se manifestou que “</w:t>
      </w:r>
      <w:r w:rsidRPr="005C2A97">
        <w:rPr>
          <w:i/>
          <w:sz w:val="22"/>
          <w:szCs w:val="22"/>
        </w:rPr>
        <w:t xml:space="preserve">constata-se que a consulente não se encontrava </w:t>
      </w:r>
      <w:proofErr w:type="gramStart"/>
      <w:r w:rsidRPr="005C2A97">
        <w:rPr>
          <w:i/>
          <w:sz w:val="22"/>
          <w:szCs w:val="22"/>
        </w:rPr>
        <w:t>sob ação</w:t>
      </w:r>
      <w:proofErr w:type="gramEnd"/>
      <w:r w:rsidRPr="005C2A97">
        <w:rPr>
          <w:i/>
          <w:sz w:val="22"/>
          <w:szCs w:val="22"/>
        </w:rPr>
        <w:t xml:space="preserve"> fiscal na data de protocolização da presente consulta</w:t>
      </w:r>
      <w:r w:rsidRPr="0023305D">
        <w:rPr>
          <w:sz w:val="22"/>
          <w:szCs w:val="22"/>
        </w:rPr>
        <w:t>”, informando ainda que “</w:t>
      </w:r>
      <w:r w:rsidRPr="005C2A97">
        <w:rPr>
          <w:i/>
          <w:sz w:val="22"/>
          <w:szCs w:val="22"/>
        </w:rPr>
        <w:t xml:space="preserve">não existem </w:t>
      </w:r>
      <w:r w:rsidR="005C2A97">
        <w:rPr>
          <w:i/>
          <w:sz w:val="22"/>
          <w:szCs w:val="22"/>
        </w:rPr>
        <w:t xml:space="preserve">débitos </w:t>
      </w:r>
      <w:r w:rsidR="005C2A97" w:rsidRPr="005C2A97">
        <w:rPr>
          <w:i/>
          <w:sz w:val="22"/>
          <w:szCs w:val="22"/>
        </w:rPr>
        <w:t>relacionados à matéria sob consulta</w:t>
      </w:r>
      <w:r w:rsidRPr="0023305D">
        <w:rPr>
          <w:sz w:val="22"/>
          <w:szCs w:val="22"/>
        </w:rPr>
        <w:t>”</w:t>
      </w:r>
      <w:r w:rsidR="005C2A97">
        <w:rPr>
          <w:sz w:val="22"/>
          <w:szCs w:val="22"/>
        </w:rPr>
        <w:t xml:space="preserve"> (fl. 35)</w:t>
      </w:r>
      <w:r w:rsidRPr="0023305D">
        <w:rPr>
          <w:sz w:val="22"/>
          <w:szCs w:val="22"/>
        </w:rPr>
        <w:t>.</w:t>
      </w:r>
    </w:p>
    <w:p w:rsidR="00B5458D" w:rsidRPr="00FA6742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B5458D" w:rsidRPr="004136EA" w:rsidRDefault="00B5458D" w:rsidP="00B5458D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lastRenderedPageBreak/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5C2A97" w:rsidRDefault="0070598D" w:rsidP="005C2A97">
      <w:pPr>
        <w:pStyle w:val="Corpodetexto"/>
        <w:numPr>
          <w:ilvl w:val="0"/>
          <w:numId w:val="30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As operações interestaduais para o Rio de Janeiro com antissoro, outras frações do sangue, produtos imunológicos modificados, mesmo obtidos por via biotecnológica, exceto para uso veterinário classificados na posição 30.02 </w:t>
      </w:r>
      <w:proofErr w:type="gramStart"/>
      <w:r>
        <w:rPr>
          <w:i/>
          <w:sz w:val="22"/>
          <w:szCs w:val="22"/>
        </w:rPr>
        <w:t>da TIPI</w:t>
      </w:r>
      <w:proofErr w:type="gramEnd"/>
      <w:r>
        <w:rPr>
          <w:i/>
          <w:sz w:val="22"/>
          <w:szCs w:val="22"/>
        </w:rPr>
        <w:t xml:space="preserve"> estão sujeitas ao regime de substituição tributária?</w:t>
      </w:r>
    </w:p>
    <w:p w:rsidR="00D57C99" w:rsidRPr="00B5458D" w:rsidRDefault="00E3758B" w:rsidP="00B5458D">
      <w:pPr>
        <w:pStyle w:val="Corpodetexto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Deve prevalecer o disposto no Protocolo ICMS n° 76/14 ou no RICMS/RJ</w:t>
      </w:r>
      <w:r w:rsidR="00D57C99">
        <w:rPr>
          <w:i/>
          <w:sz w:val="22"/>
          <w:szCs w:val="22"/>
        </w:rPr>
        <w:t>?</w:t>
      </w:r>
    </w:p>
    <w:p w:rsidR="0044157F" w:rsidRPr="00FA6742" w:rsidRDefault="0044157F" w:rsidP="0063619B">
      <w:pPr>
        <w:pStyle w:val="Corpodetexto"/>
        <w:spacing w:line="360" w:lineRule="auto"/>
        <w:ind w:firstLine="709"/>
        <w:jc w:val="both"/>
        <w:rPr>
          <w:sz w:val="20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FA6742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8"/>
        </w:rPr>
      </w:pPr>
    </w:p>
    <w:p w:rsidR="00AE09A4" w:rsidRPr="00831216" w:rsidRDefault="00AE09A4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Preliminarmente, é importante registrar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AE09A4" w:rsidRDefault="00AE09A4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Ademais, destacamos que a verificação quanto à sujeição de determinada mercadoria ao regime de substituição tributária, na lista de mercad</w:t>
      </w:r>
      <w:r>
        <w:rPr>
          <w:rFonts w:ascii="Times New Roman" w:hAnsi="Times New Roman" w:cs="Times New Roman"/>
        </w:rPr>
        <w:t>orias do Anexo I do Livro II e d</w:t>
      </w:r>
      <w:r w:rsidRPr="00831216">
        <w:rPr>
          <w:rFonts w:ascii="Times New Roman" w:hAnsi="Times New Roman" w:cs="Times New Roman"/>
        </w:rPr>
        <w:t>o Livro IV, ambos do RICMS-RJ, deve ser feita considerando-se, simultaneamente, a classificação na NCM/SH e a descrição do produto.</w:t>
      </w:r>
      <w:r>
        <w:rPr>
          <w:rFonts w:ascii="Times New Roman" w:hAnsi="Times New Roman" w:cs="Times New Roman"/>
        </w:rPr>
        <w:t xml:space="preserve"> </w:t>
      </w:r>
    </w:p>
    <w:p w:rsidR="00AE09A4" w:rsidRDefault="00F35336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 a</w:t>
      </w:r>
      <w:r w:rsidR="00AE09A4">
        <w:rPr>
          <w:rFonts w:ascii="Times New Roman" w:hAnsi="Times New Roman" w:cs="Times New Roman"/>
        </w:rPr>
        <w:t xml:space="preserve">o </w:t>
      </w:r>
      <w:r w:rsidR="00934406">
        <w:rPr>
          <w:rFonts w:ascii="Times New Roman" w:hAnsi="Times New Roman" w:cs="Times New Roman"/>
        </w:rPr>
        <w:t xml:space="preserve">primeiro </w:t>
      </w:r>
      <w:r w:rsidR="00AE09A4">
        <w:rPr>
          <w:rFonts w:ascii="Times New Roman" w:hAnsi="Times New Roman" w:cs="Times New Roman"/>
        </w:rPr>
        <w:t>questionamento apresentado, constata-se a seguinte redação vigente dos subitens 10.18 e 10.19 do Anexo I do Livro II do RICMS-RJ/00:</w:t>
      </w:r>
    </w:p>
    <w:p w:rsidR="00FA6742" w:rsidRPr="00FA6742" w:rsidRDefault="00FA6742" w:rsidP="00AE0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</w:rPr>
      </w:pP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106"/>
        <w:gridCol w:w="1005"/>
        <w:gridCol w:w="5548"/>
      </w:tblGrid>
      <w:tr w:rsidR="00AE09A4" w:rsidRPr="00934406" w:rsidTr="009344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09A4" w:rsidRPr="00934406" w:rsidRDefault="00AE09A4" w:rsidP="009344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06">
              <w:rPr>
                <w:rStyle w:val="Forte"/>
                <w:rFonts w:ascii="Arial" w:hAnsi="Arial" w:cs="Arial"/>
                <w:sz w:val="20"/>
                <w:szCs w:val="20"/>
              </w:rPr>
              <w:t>Subitem</w:t>
            </w:r>
          </w:p>
        </w:tc>
        <w:tc>
          <w:tcPr>
            <w:tcW w:w="0" w:type="auto"/>
            <w:vAlign w:val="center"/>
          </w:tcPr>
          <w:p w:rsidR="00AE09A4" w:rsidRPr="00934406" w:rsidRDefault="00AE09A4" w:rsidP="00934406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934406">
              <w:rPr>
                <w:rStyle w:val="Forte"/>
                <w:rFonts w:ascii="Arial" w:hAnsi="Arial" w:cs="Arial"/>
                <w:sz w:val="20"/>
                <w:szCs w:val="20"/>
              </w:rPr>
              <w:t>CEST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A4" w:rsidRPr="00934406" w:rsidRDefault="00AE09A4" w:rsidP="009344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06">
              <w:rPr>
                <w:rStyle w:val="Forte"/>
                <w:rFonts w:ascii="Arial" w:hAnsi="Arial" w:cs="Arial"/>
                <w:sz w:val="20"/>
                <w:szCs w:val="20"/>
              </w:rPr>
              <w:t>NCM/SH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AE09A4" w:rsidRPr="00934406" w:rsidRDefault="00AE09A4" w:rsidP="009344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06">
              <w:rPr>
                <w:rStyle w:val="Forte"/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AE09A4" w:rsidRPr="00934406" w:rsidTr="009344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09A4" w:rsidRPr="00934406" w:rsidRDefault="00AE09A4" w:rsidP="009344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06">
              <w:rPr>
                <w:rFonts w:ascii="Arial" w:hAnsi="Arial" w:cs="Arial"/>
                <w:sz w:val="20"/>
                <w:szCs w:val="20"/>
              </w:rPr>
              <w:t>10.18</w:t>
            </w:r>
          </w:p>
        </w:tc>
        <w:tc>
          <w:tcPr>
            <w:tcW w:w="0" w:type="auto"/>
            <w:vAlign w:val="center"/>
          </w:tcPr>
          <w:p w:rsidR="00AE09A4" w:rsidRPr="00934406" w:rsidRDefault="00AE09A4" w:rsidP="009344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406">
              <w:rPr>
                <w:rFonts w:ascii="Arial" w:hAnsi="Arial" w:cs="Arial"/>
                <w:color w:val="000000"/>
                <w:sz w:val="20"/>
                <w:szCs w:val="20"/>
              </w:rPr>
              <w:t>13.008.00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A4" w:rsidRPr="00934406" w:rsidRDefault="00AE09A4" w:rsidP="009344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406">
              <w:rPr>
                <w:rFonts w:ascii="Arial" w:hAnsi="Arial" w:cs="Arial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AE09A4" w:rsidRPr="00934406" w:rsidRDefault="00AE09A4" w:rsidP="0093440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4406">
              <w:rPr>
                <w:rFonts w:ascii="Arial" w:hAnsi="Arial" w:cs="Arial"/>
                <w:sz w:val="20"/>
                <w:szCs w:val="20"/>
              </w:rPr>
              <w:t xml:space="preserve">Antissoro, outras frações do sangue, produtos imunológicos modificados, mesmo obtidos por via biotecnológica, exceto para uso </w:t>
            </w:r>
            <w:proofErr w:type="gramStart"/>
            <w:r w:rsidRPr="00934406">
              <w:rPr>
                <w:rFonts w:ascii="Arial" w:hAnsi="Arial" w:cs="Arial"/>
                <w:sz w:val="20"/>
                <w:szCs w:val="20"/>
              </w:rPr>
              <w:t>veterinário – positiva</w:t>
            </w:r>
            <w:proofErr w:type="gramEnd"/>
          </w:p>
        </w:tc>
      </w:tr>
      <w:tr w:rsidR="00AE09A4" w:rsidRPr="00934406" w:rsidTr="0093440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09A4" w:rsidRPr="00934406" w:rsidRDefault="00AE09A4" w:rsidP="009344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06">
              <w:rPr>
                <w:rFonts w:ascii="Arial" w:hAnsi="Arial" w:cs="Arial"/>
                <w:sz w:val="20"/>
                <w:szCs w:val="20"/>
              </w:rPr>
              <w:t>10.19</w:t>
            </w:r>
          </w:p>
        </w:tc>
        <w:tc>
          <w:tcPr>
            <w:tcW w:w="0" w:type="auto"/>
            <w:vAlign w:val="center"/>
          </w:tcPr>
          <w:p w:rsidR="00AE09A4" w:rsidRPr="00934406" w:rsidRDefault="00AE09A4" w:rsidP="009344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406">
              <w:rPr>
                <w:rFonts w:ascii="Arial" w:hAnsi="Arial" w:cs="Arial"/>
                <w:color w:val="000000"/>
                <w:sz w:val="20"/>
                <w:szCs w:val="20"/>
              </w:rPr>
              <w:t>13.008.01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9A4" w:rsidRPr="00934406" w:rsidRDefault="00AE09A4" w:rsidP="009344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406">
              <w:rPr>
                <w:rFonts w:ascii="Arial" w:hAnsi="Arial" w:cs="Arial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AE09A4" w:rsidRPr="00934406" w:rsidRDefault="00AE09A4" w:rsidP="0093440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4406">
              <w:rPr>
                <w:rFonts w:ascii="Arial" w:hAnsi="Arial" w:cs="Arial"/>
                <w:sz w:val="20"/>
                <w:szCs w:val="20"/>
              </w:rPr>
              <w:t xml:space="preserve">Antissoro, outras frações do sangue, produtos imunológicos modificados, mesmo obtidos por via biotecnológica, exceto para uso </w:t>
            </w:r>
            <w:proofErr w:type="gramStart"/>
            <w:r w:rsidRPr="00934406">
              <w:rPr>
                <w:rFonts w:ascii="Arial" w:hAnsi="Arial" w:cs="Arial"/>
                <w:sz w:val="20"/>
                <w:szCs w:val="20"/>
              </w:rPr>
              <w:t>veterinário - negativa</w:t>
            </w:r>
            <w:proofErr w:type="gramEnd"/>
          </w:p>
        </w:tc>
      </w:tr>
    </w:tbl>
    <w:p w:rsidR="005C2A97" w:rsidRPr="00934406" w:rsidRDefault="005C2A97" w:rsidP="00AE09A4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C2A97" w:rsidRDefault="00F35336" w:rsidP="000D4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34406">
        <w:rPr>
          <w:rFonts w:ascii="Times New Roman" w:hAnsi="Times New Roman" w:cs="Times New Roman"/>
        </w:rPr>
        <w:t>utro dispositivo indicado pela consulente, o item I do Anexo Único do Protocolo ICMS 76/14, assim estabelece:</w:t>
      </w:r>
    </w:p>
    <w:p w:rsidR="00FA6742" w:rsidRDefault="00FA6742" w:rsidP="000D4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A6742" w:rsidRDefault="00FA6742" w:rsidP="000D4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24175" w:rsidRDefault="00324175" w:rsidP="0093440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95925" cy="4095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42" w:rsidRPr="00FA6742" w:rsidRDefault="00FA6742" w:rsidP="008D3AF0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E35DC8" w:rsidRDefault="00E35DC8" w:rsidP="008D3A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É importante esclarecer que, ao contrário do que alega a consulente, as referidas normas </w:t>
      </w:r>
      <w:r w:rsidRPr="004D0B04">
        <w:rPr>
          <w:rFonts w:ascii="Times New Roman" w:hAnsi="Times New Roman" w:cs="Times New Roman"/>
          <w:b/>
          <w:u w:val="single"/>
        </w:rPr>
        <w:t xml:space="preserve">não </w:t>
      </w:r>
      <w:r w:rsidRPr="00E35DC8">
        <w:rPr>
          <w:rFonts w:ascii="Times New Roman" w:hAnsi="Times New Roman" w:cs="Times New Roman"/>
        </w:rPr>
        <w:t>dispõem em sentido diametralmente opostos</w:t>
      </w:r>
      <w:r>
        <w:rPr>
          <w:rFonts w:ascii="Times New Roman" w:hAnsi="Times New Roman" w:cs="Times New Roman"/>
        </w:rPr>
        <w:t xml:space="preserve">, tendo em vista </w:t>
      </w:r>
      <w:r w:rsidR="00E81541">
        <w:rPr>
          <w:rFonts w:ascii="Times New Roman" w:hAnsi="Times New Roman" w:cs="Times New Roman"/>
        </w:rPr>
        <w:t>possuírem</w:t>
      </w:r>
      <w:r>
        <w:rPr>
          <w:rFonts w:ascii="Times New Roman" w:hAnsi="Times New Roman" w:cs="Times New Roman"/>
        </w:rPr>
        <w:t xml:space="preserve"> sentido e alcance</w:t>
      </w:r>
      <w:r w:rsidR="00E81541">
        <w:rPr>
          <w:rFonts w:ascii="Times New Roman" w:hAnsi="Times New Roman" w:cs="Times New Roman"/>
        </w:rPr>
        <w:t xml:space="preserve"> distintos</w:t>
      </w:r>
      <w:r>
        <w:rPr>
          <w:rFonts w:ascii="Times New Roman" w:hAnsi="Times New Roman" w:cs="Times New Roman"/>
        </w:rPr>
        <w:t xml:space="preserve">, </w:t>
      </w:r>
      <w:r w:rsidR="00E81541">
        <w:rPr>
          <w:rFonts w:ascii="Times New Roman" w:hAnsi="Times New Roman" w:cs="Times New Roman"/>
        </w:rPr>
        <w:t xml:space="preserve">os quais serão </w:t>
      </w:r>
      <w:r>
        <w:rPr>
          <w:rFonts w:ascii="Times New Roman" w:hAnsi="Times New Roman" w:cs="Times New Roman"/>
        </w:rPr>
        <w:t>a seguir demonstrados.</w:t>
      </w:r>
    </w:p>
    <w:p w:rsidR="00E81541" w:rsidRDefault="00E35DC8" w:rsidP="00E35DC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Livro II do RICMS-RJ/00 é o instrumento que estabelece quais produtos estão sujeitos ao regime de substituição tributária</w:t>
      </w:r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no Estado do Rio de Janeiro</w:t>
      </w:r>
      <w:r w:rsidR="00E81541">
        <w:rPr>
          <w:rFonts w:ascii="Times New Roman" w:hAnsi="Times New Roman" w:cs="Times New Roman"/>
        </w:rPr>
        <w:t xml:space="preserve">, nos termos </w:t>
      </w:r>
      <w:r w:rsidR="00F35336">
        <w:rPr>
          <w:rFonts w:ascii="Times New Roman" w:hAnsi="Times New Roman" w:cs="Times New Roman"/>
        </w:rPr>
        <w:t>do disposto no artigo 2° do referido ato normativo c/c âmbito de aplicação previsto em cada item d</w:t>
      </w:r>
      <w:r w:rsidR="002C7904">
        <w:rPr>
          <w:rFonts w:ascii="Times New Roman" w:hAnsi="Times New Roman" w:cs="Times New Roman"/>
        </w:rPr>
        <w:t xml:space="preserve">o </w:t>
      </w:r>
      <w:r w:rsidR="00F35336">
        <w:rPr>
          <w:rFonts w:ascii="Times New Roman" w:hAnsi="Times New Roman" w:cs="Times New Roman"/>
        </w:rPr>
        <w:t>Anexo I</w:t>
      </w:r>
      <w:r w:rsidR="002C7904">
        <w:rPr>
          <w:rFonts w:ascii="Times New Roman" w:hAnsi="Times New Roman" w:cs="Times New Roman"/>
        </w:rPr>
        <w:t xml:space="preserve"> do mesmo ato</w:t>
      </w:r>
      <w:r w:rsidR="00F35336">
        <w:rPr>
          <w:rFonts w:ascii="Times New Roman" w:hAnsi="Times New Roman" w:cs="Times New Roman"/>
        </w:rPr>
        <w:t xml:space="preserve">. </w:t>
      </w:r>
    </w:p>
    <w:p w:rsidR="00324175" w:rsidRDefault="002C7904" w:rsidP="00E35DC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35DC8">
        <w:rPr>
          <w:rFonts w:ascii="Times New Roman" w:hAnsi="Times New Roman" w:cs="Times New Roman"/>
        </w:rPr>
        <w:t>or outro lado, os Protocolos e Convênios firmados no âmbito do CONFAZ, que versem sobre substituição tributária, atribuem ao estabelecimento remetente</w:t>
      </w:r>
      <w:r>
        <w:rPr>
          <w:rFonts w:ascii="Times New Roman" w:hAnsi="Times New Roman" w:cs="Times New Roman"/>
        </w:rPr>
        <w:t xml:space="preserve"> localizado nas unidades federadas signatárias</w:t>
      </w:r>
      <w:r w:rsidR="00E35DC8">
        <w:rPr>
          <w:rFonts w:ascii="Times New Roman" w:hAnsi="Times New Roman" w:cs="Times New Roman"/>
        </w:rPr>
        <w:t xml:space="preserve"> a qualidade de substituto tributário relativamente às mercadorias neles mencionadas.</w:t>
      </w:r>
    </w:p>
    <w:p w:rsidR="00E35DC8" w:rsidRDefault="002C7904" w:rsidP="008D3A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7354">
        <w:rPr>
          <w:rFonts w:ascii="Times New Roman" w:hAnsi="Times New Roman" w:cs="Times New Roman"/>
        </w:rPr>
        <w:tab/>
        <w:t xml:space="preserve">Logo, o fato de determinada mercadoria de um segmento </w:t>
      </w:r>
      <w:r w:rsidRPr="00D27354">
        <w:rPr>
          <w:rFonts w:ascii="Times New Roman" w:hAnsi="Times New Roman" w:cs="Times New Roman"/>
          <w:u w:val="single"/>
        </w:rPr>
        <w:t>estar prevista no Anexo I do Livro II do RICMS-RJ/00</w:t>
      </w:r>
      <w:r w:rsidRPr="00D27354">
        <w:rPr>
          <w:rFonts w:ascii="Times New Roman" w:hAnsi="Times New Roman" w:cs="Times New Roman"/>
        </w:rPr>
        <w:t xml:space="preserve"> </w:t>
      </w:r>
      <w:r w:rsidRPr="00D27354">
        <w:rPr>
          <w:rFonts w:ascii="Times New Roman" w:hAnsi="Times New Roman" w:cs="Times New Roman"/>
          <w:u w:val="single"/>
        </w:rPr>
        <w:t>e</w:t>
      </w:r>
      <w:r w:rsidRPr="00D27354">
        <w:rPr>
          <w:rFonts w:ascii="Times New Roman" w:hAnsi="Times New Roman" w:cs="Times New Roman"/>
        </w:rPr>
        <w:t xml:space="preserve"> </w:t>
      </w:r>
      <w:r w:rsidRPr="00D27354">
        <w:rPr>
          <w:rFonts w:ascii="Times New Roman" w:hAnsi="Times New Roman" w:cs="Times New Roman"/>
          <w:u w:val="single"/>
        </w:rPr>
        <w:t>não constar em determinado Protocolo ou Convênio</w:t>
      </w:r>
      <w:r w:rsidRPr="00D27354">
        <w:rPr>
          <w:rFonts w:ascii="Times New Roman" w:hAnsi="Times New Roman" w:cs="Times New Roman"/>
        </w:rPr>
        <w:t xml:space="preserve"> que disponha sobre substituição tributária n</w:t>
      </w:r>
      <w:r w:rsidR="00F852CC" w:rsidRPr="00D27354">
        <w:rPr>
          <w:rFonts w:ascii="Times New Roman" w:hAnsi="Times New Roman" w:cs="Times New Roman"/>
        </w:rPr>
        <w:t>ão significa conflito entre as</w:t>
      </w:r>
      <w:r w:rsidRPr="00D27354">
        <w:rPr>
          <w:rFonts w:ascii="Times New Roman" w:hAnsi="Times New Roman" w:cs="Times New Roman"/>
        </w:rPr>
        <w:t xml:space="preserve"> normas, mas sim que </w:t>
      </w:r>
      <w:r w:rsidRPr="00D27354">
        <w:rPr>
          <w:rFonts w:ascii="Times New Roman" w:hAnsi="Times New Roman" w:cs="Times New Roman"/>
          <w:u w:val="single"/>
        </w:rPr>
        <w:t>a mercadoria está sujeita ao regime de substituição tributária nas operações internas e nas aquisições de mercadorias procedentes de outra unidade federada por contribuintes localizados no Estado do Rio de Janeiro</w:t>
      </w:r>
      <w:r w:rsidR="00F852CC" w:rsidRPr="00D27354">
        <w:rPr>
          <w:rFonts w:ascii="Times New Roman" w:hAnsi="Times New Roman" w:cs="Times New Roman"/>
        </w:rPr>
        <w:t>, devendo ser observados os seguintes dispositivos, dentre outros: artigos 21 e 23 da Lei n°</w:t>
      </w:r>
      <w:r w:rsidR="00F852CC">
        <w:rPr>
          <w:rFonts w:ascii="Times New Roman" w:hAnsi="Times New Roman" w:cs="Times New Roman"/>
        </w:rPr>
        <w:t xml:space="preserve"> 2657/96, Livro II do RICMS-RJ/00 e Capítulos II e IV da Resolução SEFAZ n°</w:t>
      </w:r>
      <w:r w:rsidR="00F852CC" w:rsidRPr="00F852CC">
        <w:rPr>
          <w:rFonts w:ascii="Times New Roman" w:hAnsi="Times New Roman" w:cs="Times New Roman"/>
        </w:rPr>
        <w:t xml:space="preserve"> 537</w:t>
      </w:r>
      <w:r w:rsidR="00F852CC">
        <w:rPr>
          <w:rFonts w:ascii="Times New Roman" w:hAnsi="Times New Roman" w:cs="Times New Roman"/>
        </w:rPr>
        <w:t>/</w:t>
      </w:r>
      <w:r w:rsidR="00F852CC" w:rsidRPr="00F852CC">
        <w:rPr>
          <w:rFonts w:ascii="Times New Roman" w:hAnsi="Times New Roman" w:cs="Times New Roman"/>
        </w:rPr>
        <w:t>12</w:t>
      </w:r>
      <w:r w:rsidRPr="002C7904">
        <w:rPr>
          <w:rFonts w:ascii="Times New Roman" w:hAnsi="Times New Roman" w:cs="Times New Roman"/>
        </w:rPr>
        <w:t>.</w:t>
      </w:r>
    </w:p>
    <w:p w:rsidR="00E35DC8" w:rsidRDefault="00F852CC" w:rsidP="008D3A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 fundamento no exposto, esclarecemos que </w:t>
      </w:r>
      <w:proofErr w:type="gramStart"/>
      <w:r w:rsidRPr="00F852CC">
        <w:rPr>
          <w:rFonts w:ascii="Times New Roman" w:hAnsi="Times New Roman" w:cs="Times New Roman"/>
          <w:b/>
          <w:u w:val="single"/>
        </w:rPr>
        <w:t>o produto “outras frações do sangue, produtos imunológicos modificados, mesmo obtidos por via biotecnológica”, classificados</w:t>
      </w:r>
      <w:proofErr w:type="gramEnd"/>
      <w:r w:rsidRPr="00F852CC">
        <w:rPr>
          <w:rFonts w:ascii="Times New Roman" w:hAnsi="Times New Roman" w:cs="Times New Roman"/>
          <w:b/>
          <w:u w:val="single"/>
        </w:rPr>
        <w:t xml:space="preserve"> na posição 30.02 da NCM/SH, está sujeito ao regime de substituição tributária no Estado do Rio de Janeiro</w:t>
      </w:r>
      <w:r w:rsidRPr="00F852CC">
        <w:rPr>
          <w:b/>
          <w:u w:val="single"/>
        </w:rPr>
        <w:t xml:space="preserve"> </w:t>
      </w:r>
      <w:r w:rsidRPr="00F852CC">
        <w:rPr>
          <w:rFonts w:ascii="Times New Roman" w:hAnsi="Times New Roman" w:cs="Times New Roman"/>
          <w:b/>
          <w:u w:val="single"/>
        </w:rPr>
        <w:t>nas operações internas e nas aquisições de mercadorias procedentes de outra unidade federada por contribuintes localizados no Estado do Rio de Janeiro</w:t>
      </w:r>
      <w:r>
        <w:rPr>
          <w:rFonts w:ascii="Times New Roman" w:hAnsi="Times New Roman" w:cs="Times New Roman"/>
        </w:rPr>
        <w:t>. Repise-se, neste caso, a necessidade de observância ao disposto nos Capítulos II e IV da Resolução SEFAZ n°</w:t>
      </w:r>
      <w:r w:rsidRPr="00F852CC">
        <w:rPr>
          <w:rFonts w:ascii="Times New Roman" w:hAnsi="Times New Roman" w:cs="Times New Roman"/>
        </w:rPr>
        <w:t xml:space="preserve"> 537</w:t>
      </w:r>
      <w:r>
        <w:rPr>
          <w:rFonts w:ascii="Times New Roman" w:hAnsi="Times New Roman" w:cs="Times New Roman"/>
        </w:rPr>
        <w:t>/</w:t>
      </w:r>
      <w:r w:rsidRPr="00F852CC">
        <w:rPr>
          <w:rFonts w:ascii="Times New Roman" w:hAnsi="Times New Roman" w:cs="Times New Roman"/>
        </w:rPr>
        <w:t>12</w:t>
      </w:r>
      <w:r w:rsidRPr="002C7904">
        <w:rPr>
          <w:rFonts w:ascii="Times New Roman" w:hAnsi="Times New Roman" w:cs="Times New Roman"/>
        </w:rPr>
        <w:t>.</w:t>
      </w:r>
    </w:p>
    <w:p w:rsidR="00B33AB1" w:rsidRPr="000F6CE3" w:rsidRDefault="00B33AB1" w:rsidP="004E22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quanto ao segundo questionamento apresentado, este </w:t>
      </w:r>
      <w:r w:rsidR="00D27354">
        <w:rPr>
          <w:rFonts w:ascii="Times New Roman" w:hAnsi="Times New Roman" w:cs="Times New Roman"/>
        </w:rPr>
        <w:t>já se</w:t>
      </w:r>
      <w:r>
        <w:rPr>
          <w:rFonts w:ascii="Times New Roman" w:hAnsi="Times New Roman" w:cs="Times New Roman"/>
        </w:rPr>
        <w:t xml:space="preserve"> encontra </w:t>
      </w:r>
      <w:r w:rsidR="00D27354">
        <w:rPr>
          <w:rFonts w:ascii="Times New Roman" w:hAnsi="Times New Roman" w:cs="Times New Roman"/>
        </w:rPr>
        <w:t>respondido nesta solução de consulta</w:t>
      </w:r>
      <w:r>
        <w:rPr>
          <w:rFonts w:ascii="Times New Roman" w:hAnsi="Times New Roman" w:cs="Times New Roman"/>
        </w:rPr>
        <w:t xml:space="preserve">, </w:t>
      </w:r>
      <w:r w:rsidR="00D27354">
        <w:rPr>
          <w:rFonts w:ascii="Times New Roman" w:hAnsi="Times New Roman" w:cs="Times New Roman"/>
        </w:rPr>
        <w:t>considerando</w:t>
      </w:r>
      <w:r>
        <w:rPr>
          <w:rFonts w:ascii="Times New Roman" w:hAnsi="Times New Roman" w:cs="Times New Roman"/>
        </w:rPr>
        <w:t xml:space="preserve"> </w:t>
      </w:r>
      <w:r w:rsidR="00D27354">
        <w:rPr>
          <w:rFonts w:ascii="Times New Roman" w:hAnsi="Times New Roman" w:cs="Times New Roman"/>
        </w:rPr>
        <w:t>a resposta à</w:t>
      </w:r>
      <w:r>
        <w:rPr>
          <w:rFonts w:ascii="Times New Roman" w:hAnsi="Times New Roman" w:cs="Times New Roman"/>
        </w:rPr>
        <w:t xml:space="preserve"> primeira indagação.</w:t>
      </w:r>
    </w:p>
    <w:p w:rsidR="00C02B87" w:rsidRDefault="00C02B87" w:rsidP="00CB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FA6742" w:rsidRPr="00FA6742" w:rsidRDefault="00FA6742" w:rsidP="00CB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FA6742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2667C0" w:rsidRPr="008D692B" w:rsidRDefault="002602BE" w:rsidP="005C2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 xml:space="preserve">Considerando </w:t>
      </w:r>
      <w:proofErr w:type="gramStart"/>
      <w:r w:rsidRPr="00531E77">
        <w:rPr>
          <w:rFonts w:ascii="Times New Roman" w:hAnsi="Times New Roman" w:cs="Times New Roman"/>
        </w:rPr>
        <w:t>o exposto,</w:t>
      </w:r>
      <w:r w:rsidR="008D692B">
        <w:rPr>
          <w:rFonts w:ascii="Times New Roman" w:hAnsi="Times New Roman" w:cs="Times New Roman"/>
        </w:rPr>
        <w:t xml:space="preserve"> </w:t>
      </w:r>
      <w:r w:rsidR="008D692B" w:rsidRPr="00F852CC">
        <w:rPr>
          <w:rFonts w:ascii="Times New Roman" w:hAnsi="Times New Roman" w:cs="Times New Roman"/>
          <w:b/>
          <w:u w:val="single"/>
        </w:rPr>
        <w:t>o produto “outras frações do sangue, produtos imunológicos modificados, mesmo obtidos por via biotecnológica”, classificados</w:t>
      </w:r>
      <w:proofErr w:type="gramEnd"/>
      <w:r w:rsidR="008D692B" w:rsidRPr="00F852CC">
        <w:rPr>
          <w:rFonts w:ascii="Times New Roman" w:hAnsi="Times New Roman" w:cs="Times New Roman"/>
          <w:b/>
          <w:u w:val="single"/>
        </w:rPr>
        <w:t xml:space="preserve"> na posição 30.02 da NCM/SH, está sujeito ao regime de substituição tributária no Estado do Rio de Janeiro</w:t>
      </w:r>
      <w:r w:rsidR="008D692B" w:rsidRPr="00F852CC">
        <w:rPr>
          <w:b/>
          <w:u w:val="single"/>
        </w:rPr>
        <w:t xml:space="preserve"> </w:t>
      </w:r>
      <w:r w:rsidR="008D692B" w:rsidRPr="00F852CC">
        <w:rPr>
          <w:rFonts w:ascii="Times New Roman" w:hAnsi="Times New Roman" w:cs="Times New Roman"/>
          <w:b/>
          <w:u w:val="single"/>
        </w:rPr>
        <w:t xml:space="preserve">nas operações </w:t>
      </w:r>
      <w:r w:rsidR="008D692B" w:rsidRPr="00F852CC">
        <w:rPr>
          <w:rFonts w:ascii="Times New Roman" w:hAnsi="Times New Roman" w:cs="Times New Roman"/>
          <w:b/>
          <w:u w:val="single"/>
        </w:rPr>
        <w:lastRenderedPageBreak/>
        <w:t>internas e nas aquisições de mercadorias procedentes de outra unidade federada por contribuintes localizados no Estado do Rio de Janeiro</w:t>
      </w:r>
      <w:r w:rsidR="008D692B" w:rsidRPr="008D692B">
        <w:rPr>
          <w:rFonts w:ascii="Times New Roman" w:hAnsi="Times New Roman" w:cs="Times New Roman"/>
          <w:b/>
          <w:u w:val="single"/>
        </w:rPr>
        <w:t>, devendo ser observados os seguintes dispositivos, dentre outros: artigos 21 e 23 da Lei n° 2657/96, Livro II do RICMS-RJ/00 e Capítulos II e IV da Resolução SEFAZ n° 537/12</w:t>
      </w:r>
      <w:r w:rsidR="002667C0" w:rsidRPr="008D692B">
        <w:rPr>
          <w:rFonts w:ascii="Times New Roman" w:hAnsi="Times New Roman" w:cs="Times New Roman"/>
          <w:b/>
          <w:u w:val="single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831216">
        <w:rPr>
          <w:rFonts w:ascii="Times New Roman" w:hAnsi="Times New Roman" w:cs="Times New Roman"/>
        </w:rPr>
        <w:t>1</w:t>
      </w:r>
      <w:r w:rsidR="005C2A97">
        <w:rPr>
          <w:rFonts w:ascii="Times New Roman" w:hAnsi="Times New Roman" w:cs="Times New Roman"/>
        </w:rPr>
        <w:t>2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5C2A97">
        <w:rPr>
          <w:rFonts w:ascii="Times New Roman" w:hAnsi="Times New Roman" w:cs="Times New Roman"/>
        </w:rPr>
        <w:t>abril</w:t>
      </w:r>
      <w:r w:rsidR="00544697">
        <w:rPr>
          <w:rFonts w:ascii="Times New Roman" w:hAnsi="Times New Roman" w:cs="Times New Roman"/>
        </w:rPr>
        <w:t xml:space="preserve"> de 201</w:t>
      </w:r>
      <w:r w:rsidR="00E86525">
        <w:rPr>
          <w:rFonts w:ascii="Times New Roman" w:hAnsi="Times New Roman" w:cs="Times New Roman"/>
        </w:rPr>
        <w:t>7</w:t>
      </w:r>
      <w:r w:rsidR="003C2B81">
        <w:rPr>
          <w:rFonts w:ascii="Times New Roman" w:hAnsi="Times New Roman" w:cs="Times New Roman"/>
        </w:rPr>
        <w:t>.</w:t>
      </w:r>
    </w:p>
    <w:p w:rsidR="00E86525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E86525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2D2BF4" w:rsidRPr="009022FB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"/>
        </w:rPr>
      </w:pPr>
    </w:p>
    <w:sectPr w:rsidR="002D2BF4" w:rsidRPr="009022FB" w:rsidSect="00C21A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D6" w:rsidRDefault="006531D6" w:rsidP="00546EC0">
      <w:pPr>
        <w:spacing w:after="0" w:line="240" w:lineRule="auto"/>
      </w:pPr>
      <w:r>
        <w:separator/>
      </w:r>
    </w:p>
  </w:endnote>
  <w:endnote w:type="continuationSeparator" w:id="0">
    <w:p w:rsidR="006531D6" w:rsidRDefault="006531D6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83" w:rsidRDefault="00C21A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83" w:rsidRDefault="00C21A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83" w:rsidRDefault="00C21A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D6" w:rsidRDefault="006531D6" w:rsidP="00546EC0">
      <w:pPr>
        <w:spacing w:after="0" w:line="240" w:lineRule="auto"/>
      </w:pPr>
      <w:r>
        <w:separator/>
      </w:r>
    </w:p>
  </w:footnote>
  <w:footnote w:type="continuationSeparator" w:id="0">
    <w:p w:rsidR="006531D6" w:rsidRDefault="006531D6" w:rsidP="00546EC0">
      <w:pPr>
        <w:spacing w:after="0" w:line="240" w:lineRule="auto"/>
      </w:pPr>
      <w:r>
        <w:continuationSeparator/>
      </w:r>
    </w:p>
  </w:footnote>
  <w:footnote w:id="1">
    <w:p w:rsidR="00E35DC8" w:rsidRPr="00E35DC8" w:rsidRDefault="00E35DC8">
      <w:pPr>
        <w:pStyle w:val="Textodenotaderodap"/>
        <w:rPr>
          <w:rFonts w:ascii="Times New Roman" w:hAnsi="Times New Roman" w:cs="Times New Roman"/>
        </w:rPr>
      </w:pPr>
      <w:r w:rsidRPr="00E35DC8">
        <w:rPr>
          <w:rStyle w:val="Refdenotaderodap"/>
          <w:rFonts w:ascii="Times New Roman" w:hAnsi="Times New Roman" w:cs="Times New Roman"/>
        </w:rPr>
        <w:footnoteRef/>
      </w:r>
      <w:r w:rsidRPr="00E35DC8">
        <w:rPr>
          <w:rFonts w:ascii="Times New Roman" w:hAnsi="Times New Roman" w:cs="Times New Roman"/>
        </w:rPr>
        <w:t xml:space="preserve"> À exceção de combustíveis e lubrificantes, que possuem disciplina específica no Livro IV do RICMS-RJ/00.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83" w:rsidRDefault="00C21A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68259ADF" wp14:editId="05B35B6B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614A2A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039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814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614A2A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614A2A">
                  <w:rPr>
                    <w:rFonts w:ascii="Times New Roman" w:hAnsi="Times New Roman"/>
                    <w:sz w:val="20"/>
                  </w:rPr>
                  <w:t>1</w:t>
                </w:r>
                <w:r w:rsidR="00D46DE1">
                  <w:rPr>
                    <w:rFonts w:ascii="Times New Roman" w:hAnsi="Times New Roman"/>
                    <w:sz w:val="20"/>
                  </w:rPr>
                  <w:t>3</w:t>
                </w:r>
                <w:r w:rsidR="00614A2A">
                  <w:rPr>
                    <w:rFonts w:ascii="Times New Roman" w:hAnsi="Times New Roman"/>
                    <w:sz w:val="20"/>
                  </w:rPr>
                  <w:t>/12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614A2A">
                  <w:rPr>
                    <w:rFonts w:ascii="Times New Roman" w:hAnsi="Times New Roman"/>
                    <w:sz w:val="20"/>
                  </w:rPr>
                  <w:t>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C21A83">
                  <w:rPr>
                    <w:rFonts w:ascii="Times New Roman" w:hAnsi="Times New Roman"/>
                    <w:noProof/>
                    <w:sz w:val="20"/>
                  </w:rPr>
                  <w:t>40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83" w:rsidRDefault="00C21A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2"/>
  </w:num>
  <w:num w:numId="5">
    <w:abstractNumId w:val="1"/>
  </w:num>
  <w:num w:numId="6">
    <w:abstractNumId w:val="0"/>
  </w:num>
  <w:num w:numId="7">
    <w:abstractNumId w:val="19"/>
  </w:num>
  <w:num w:numId="8">
    <w:abstractNumId w:val="16"/>
  </w:num>
  <w:num w:numId="9">
    <w:abstractNumId w:val="24"/>
  </w:num>
  <w:num w:numId="10">
    <w:abstractNumId w:val="6"/>
  </w:num>
  <w:num w:numId="11">
    <w:abstractNumId w:val="7"/>
  </w:num>
  <w:num w:numId="12">
    <w:abstractNumId w:val="23"/>
  </w:num>
  <w:num w:numId="13">
    <w:abstractNumId w:val="17"/>
  </w:num>
  <w:num w:numId="14">
    <w:abstractNumId w:val="30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29"/>
  </w:num>
  <w:num w:numId="21">
    <w:abstractNumId w:val="11"/>
  </w:num>
  <w:num w:numId="22">
    <w:abstractNumId w:val="13"/>
  </w:num>
  <w:num w:numId="23">
    <w:abstractNumId w:val="9"/>
  </w:num>
  <w:num w:numId="24">
    <w:abstractNumId w:val="27"/>
  </w:num>
  <w:num w:numId="25">
    <w:abstractNumId w:val="28"/>
  </w:num>
  <w:num w:numId="26">
    <w:abstractNumId w:val="8"/>
  </w:num>
  <w:num w:numId="27">
    <w:abstractNumId w:val="26"/>
  </w:num>
  <w:num w:numId="28">
    <w:abstractNumId w:val="14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07209"/>
    <w:rsid w:val="0001096A"/>
    <w:rsid w:val="00010B56"/>
    <w:rsid w:val="00017B17"/>
    <w:rsid w:val="0002389A"/>
    <w:rsid w:val="000256A6"/>
    <w:rsid w:val="000267DA"/>
    <w:rsid w:val="0003044A"/>
    <w:rsid w:val="00042A24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B2CBC"/>
    <w:rsid w:val="000C0F80"/>
    <w:rsid w:val="000C115B"/>
    <w:rsid w:val="000C2BAA"/>
    <w:rsid w:val="000C3A53"/>
    <w:rsid w:val="000C474C"/>
    <w:rsid w:val="000C5495"/>
    <w:rsid w:val="000C7B63"/>
    <w:rsid w:val="000D4E46"/>
    <w:rsid w:val="000D6809"/>
    <w:rsid w:val="000D6F55"/>
    <w:rsid w:val="000F30B1"/>
    <w:rsid w:val="000F4FB2"/>
    <w:rsid w:val="000F63EE"/>
    <w:rsid w:val="000F6CE3"/>
    <w:rsid w:val="00111ED2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6B62"/>
    <w:rsid w:val="00157300"/>
    <w:rsid w:val="00161EA1"/>
    <w:rsid w:val="00163E34"/>
    <w:rsid w:val="00166FDB"/>
    <w:rsid w:val="001760E5"/>
    <w:rsid w:val="0017649F"/>
    <w:rsid w:val="0018777E"/>
    <w:rsid w:val="001A0157"/>
    <w:rsid w:val="001B06C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24DC"/>
    <w:rsid w:val="00212AD2"/>
    <w:rsid w:val="00216AA2"/>
    <w:rsid w:val="00217892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632"/>
    <w:rsid w:val="002667C0"/>
    <w:rsid w:val="00277CB4"/>
    <w:rsid w:val="002827AA"/>
    <w:rsid w:val="0028490E"/>
    <w:rsid w:val="00286428"/>
    <w:rsid w:val="00287AE7"/>
    <w:rsid w:val="00296DAB"/>
    <w:rsid w:val="00296FE0"/>
    <w:rsid w:val="002A3F1C"/>
    <w:rsid w:val="002A4C9B"/>
    <w:rsid w:val="002B25A7"/>
    <w:rsid w:val="002B2A2D"/>
    <w:rsid w:val="002B71CC"/>
    <w:rsid w:val="002B74A0"/>
    <w:rsid w:val="002C092A"/>
    <w:rsid w:val="002C2F26"/>
    <w:rsid w:val="002C6F01"/>
    <w:rsid w:val="002C7904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519F"/>
    <w:rsid w:val="00324175"/>
    <w:rsid w:val="003323FF"/>
    <w:rsid w:val="003348FF"/>
    <w:rsid w:val="003453A9"/>
    <w:rsid w:val="00350AA3"/>
    <w:rsid w:val="00350DC5"/>
    <w:rsid w:val="0035322A"/>
    <w:rsid w:val="00355B36"/>
    <w:rsid w:val="00360C1E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C2B81"/>
    <w:rsid w:val="003C3FF2"/>
    <w:rsid w:val="003C74CE"/>
    <w:rsid w:val="003D672A"/>
    <w:rsid w:val="003E2C18"/>
    <w:rsid w:val="003E5196"/>
    <w:rsid w:val="003E541C"/>
    <w:rsid w:val="003E5502"/>
    <w:rsid w:val="003E5ED9"/>
    <w:rsid w:val="003E6174"/>
    <w:rsid w:val="003E7E1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1356"/>
    <w:rsid w:val="0044157F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613C"/>
    <w:rsid w:val="00480304"/>
    <w:rsid w:val="00481E33"/>
    <w:rsid w:val="00481F61"/>
    <w:rsid w:val="00482136"/>
    <w:rsid w:val="00482C57"/>
    <w:rsid w:val="00483017"/>
    <w:rsid w:val="00484878"/>
    <w:rsid w:val="00487A3A"/>
    <w:rsid w:val="004A02C8"/>
    <w:rsid w:val="004A40D0"/>
    <w:rsid w:val="004A5EFB"/>
    <w:rsid w:val="004A6BD1"/>
    <w:rsid w:val="004C09C0"/>
    <w:rsid w:val="004C1EB5"/>
    <w:rsid w:val="004C2776"/>
    <w:rsid w:val="004D0B04"/>
    <w:rsid w:val="004D3BD9"/>
    <w:rsid w:val="004E224D"/>
    <w:rsid w:val="004E2759"/>
    <w:rsid w:val="004E6C16"/>
    <w:rsid w:val="004F17F9"/>
    <w:rsid w:val="004F389A"/>
    <w:rsid w:val="004F5CBF"/>
    <w:rsid w:val="004F7719"/>
    <w:rsid w:val="00506358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EC0"/>
    <w:rsid w:val="00553A37"/>
    <w:rsid w:val="00555312"/>
    <w:rsid w:val="005578E8"/>
    <w:rsid w:val="005707CA"/>
    <w:rsid w:val="0057103A"/>
    <w:rsid w:val="00571C8F"/>
    <w:rsid w:val="00580CEF"/>
    <w:rsid w:val="0058434E"/>
    <w:rsid w:val="00584587"/>
    <w:rsid w:val="005860DD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74E9"/>
    <w:rsid w:val="005C2A97"/>
    <w:rsid w:val="005C5FC9"/>
    <w:rsid w:val="005D094C"/>
    <w:rsid w:val="005D2324"/>
    <w:rsid w:val="005D4BF2"/>
    <w:rsid w:val="005D4F5C"/>
    <w:rsid w:val="005E14DA"/>
    <w:rsid w:val="005E7A38"/>
    <w:rsid w:val="005F26B5"/>
    <w:rsid w:val="005F47B6"/>
    <w:rsid w:val="005F55C3"/>
    <w:rsid w:val="006001F3"/>
    <w:rsid w:val="006022EA"/>
    <w:rsid w:val="00602B62"/>
    <w:rsid w:val="00611FDB"/>
    <w:rsid w:val="00614A2A"/>
    <w:rsid w:val="00616D6F"/>
    <w:rsid w:val="0062063D"/>
    <w:rsid w:val="006239D5"/>
    <w:rsid w:val="006251E1"/>
    <w:rsid w:val="0063619B"/>
    <w:rsid w:val="006406C8"/>
    <w:rsid w:val="00641435"/>
    <w:rsid w:val="00642FBD"/>
    <w:rsid w:val="00651CCF"/>
    <w:rsid w:val="006531D6"/>
    <w:rsid w:val="0065393E"/>
    <w:rsid w:val="00654C1A"/>
    <w:rsid w:val="00655358"/>
    <w:rsid w:val="006637B6"/>
    <w:rsid w:val="0066751B"/>
    <w:rsid w:val="00681C11"/>
    <w:rsid w:val="00681E8C"/>
    <w:rsid w:val="00686534"/>
    <w:rsid w:val="00691383"/>
    <w:rsid w:val="006A2586"/>
    <w:rsid w:val="006A270F"/>
    <w:rsid w:val="006A2B77"/>
    <w:rsid w:val="006A3E5C"/>
    <w:rsid w:val="006A7B09"/>
    <w:rsid w:val="006B0166"/>
    <w:rsid w:val="006B1F43"/>
    <w:rsid w:val="006C0215"/>
    <w:rsid w:val="006C061B"/>
    <w:rsid w:val="006C22B0"/>
    <w:rsid w:val="006C2B14"/>
    <w:rsid w:val="006C3810"/>
    <w:rsid w:val="006C7EA7"/>
    <w:rsid w:val="006D3064"/>
    <w:rsid w:val="006D3BD2"/>
    <w:rsid w:val="006E73A4"/>
    <w:rsid w:val="006F06F0"/>
    <w:rsid w:val="006F371B"/>
    <w:rsid w:val="006F6F46"/>
    <w:rsid w:val="006F7473"/>
    <w:rsid w:val="006F7509"/>
    <w:rsid w:val="00705276"/>
    <w:rsid w:val="0070598D"/>
    <w:rsid w:val="00723073"/>
    <w:rsid w:val="0072317C"/>
    <w:rsid w:val="00726138"/>
    <w:rsid w:val="0073615C"/>
    <w:rsid w:val="0074027D"/>
    <w:rsid w:val="00744CFD"/>
    <w:rsid w:val="00745EA1"/>
    <w:rsid w:val="0075364B"/>
    <w:rsid w:val="007637EC"/>
    <w:rsid w:val="0077111D"/>
    <w:rsid w:val="00773AC1"/>
    <w:rsid w:val="00774EE0"/>
    <w:rsid w:val="00784FE7"/>
    <w:rsid w:val="007A3336"/>
    <w:rsid w:val="007A59E8"/>
    <w:rsid w:val="007B05BC"/>
    <w:rsid w:val="007B5E6E"/>
    <w:rsid w:val="007B600B"/>
    <w:rsid w:val="007D43AF"/>
    <w:rsid w:val="007E0EB0"/>
    <w:rsid w:val="007E1437"/>
    <w:rsid w:val="007E33A3"/>
    <w:rsid w:val="00802458"/>
    <w:rsid w:val="00802806"/>
    <w:rsid w:val="00805A34"/>
    <w:rsid w:val="008066EF"/>
    <w:rsid w:val="0080683B"/>
    <w:rsid w:val="00811976"/>
    <w:rsid w:val="00813986"/>
    <w:rsid w:val="00815AF9"/>
    <w:rsid w:val="00820383"/>
    <w:rsid w:val="00820B31"/>
    <w:rsid w:val="00821B5B"/>
    <w:rsid w:val="00822FC1"/>
    <w:rsid w:val="00825B85"/>
    <w:rsid w:val="00825D6E"/>
    <w:rsid w:val="00826E19"/>
    <w:rsid w:val="00827ABA"/>
    <w:rsid w:val="00831216"/>
    <w:rsid w:val="0083341E"/>
    <w:rsid w:val="00834E93"/>
    <w:rsid w:val="00843CCE"/>
    <w:rsid w:val="00844E38"/>
    <w:rsid w:val="0084664A"/>
    <w:rsid w:val="008505C6"/>
    <w:rsid w:val="008633F9"/>
    <w:rsid w:val="008662EA"/>
    <w:rsid w:val="008707A4"/>
    <w:rsid w:val="00870982"/>
    <w:rsid w:val="00874337"/>
    <w:rsid w:val="008876B4"/>
    <w:rsid w:val="0089032B"/>
    <w:rsid w:val="0089083E"/>
    <w:rsid w:val="008963F1"/>
    <w:rsid w:val="008968DF"/>
    <w:rsid w:val="008A6FD7"/>
    <w:rsid w:val="008B0AB4"/>
    <w:rsid w:val="008B1870"/>
    <w:rsid w:val="008B2817"/>
    <w:rsid w:val="008B7E52"/>
    <w:rsid w:val="008C378C"/>
    <w:rsid w:val="008C5BDE"/>
    <w:rsid w:val="008C6621"/>
    <w:rsid w:val="008D0CD7"/>
    <w:rsid w:val="008D3AF0"/>
    <w:rsid w:val="008D3F8D"/>
    <w:rsid w:val="008D4306"/>
    <w:rsid w:val="008D692B"/>
    <w:rsid w:val="008E02BC"/>
    <w:rsid w:val="008E188A"/>
    <w:rsid w:val="008E7D29"/>
    <w:rsid w:val="008F3D1E"/>
    <w:rsid w:val="008F47CB"/>
    <w:rsid w:val="008F716D"/>
    <w:rsid w:val="009022FB"/>
    <w:rsid w:val="009114C8"/>
    <w:rsid w:val="00913262"/>
    <w:rsid w:val="009155C7"/>
    <w:rsid w:val="00917DDE"/>
    <w:rsid w:val="0092139C"/>
    <w:rsid w:val="0093290E"/>
    <w:rsid w:val="00934406"/>
    <w:rsid w:val="00934E4E"/>
    <w:rsid w:val="009371CE"/>
    <w:rsid w:val="009409F8"/>
    <w:rsid w:val="00951E1D"/>
    <w:rsid w:val="0095280C"/>
    <w:rsid w:val="009613BD"/>
    <w:rsid w:val="009659AE"/>
    <w:rsid w:val="00966252"/>
    <w:rsid w:val="00967F3A"/>
    <w:rsid w:val="009774EC"/>
    <w:rsid w:val="009860E1"/>
    <w:rsid w:val="00987CE9"/>
    <w:rsid w:val="00994540"/>
    <w:rsid w:val="009A34BE"/>
    <w:rsid w:val="009A4E8D"/>
    <w:rsid w:val="009B11AE"/>
    <w:rsid w:val="009B162D"/>
    <w:rsid w:val="009B37D2"/>
    <w:rsid w:val="009C1581"/>
    <w:rsid w:val="009C2B3E"/>
    <w:rsid w:val="009C4927"/>
    <w:rsid w:val="009C4F3D"/>
    <w:rsid w:val="009C52C7"/>
    <w:rsid w:val="009D1501"/>
    <w:rsid w:val="009D3FA6"/>
    <w:rsid w:val="009D5FA8"/>
    <w:rsid w:val="009E2E6B"/>
    <w:rsid w:val="009E78BF"/>
    <w:rsid w:val="009F4CBE"/>
    <w:rsid w:val="009F6AAA"/>
    <w:rsid w:val="009F7DF5"/>
    <w:rsid w:val="00A00A93"/>
    <w:rsid w:val="00A03301"/>
    <w:rsid w:val="00A0491B"/>
    <w:rsid w:val="00A054C6"/>
    <w:rsid w:val="00A068DA"/>
    <w:rsid w:val="00A125EC"/>
    <w:rsid w:val="00A14030"/>
    <w:rsid w:val="00A1752D"/>
    <w:rsid w:val="00A257C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617F9"/>
    <w:rsid w:val="00A73758"/>
    <w:rsid w:val="00A73790"/>
    <w:rsid w:val="00A73B7E"/>
    <w:rsid w:val="00A75493"/>
    <w:rsid w:val="00A75A0C"/>
    <w:rsid w:val="00A81641"/>
    <w:rsid w:val="00A964F7"/>
    <w:rsid w:val="00A96869"/>
    <w:rsid w:val="00AA3212"/>
    <w:rsid w:val="00AB04BB"/>
    <w:rsid w:val="00AB4310"/>
    <w:rsid w:val="00AC0641"/>
    <w:rsid w:val="00AD3421"/>
    <w:rsid w:val="00AD363A"/>
    <w:rsid w:val="00AD3B79"/>
    <w:rsid w:val="00AD472A"/>
    <w:rsid w:val="00AD6ABB"/>
    <w:rsid w:val="00AE055F"/>
    <w:rsid w:val="00AE09A4"/>
    <w:rsid w:val="00AE363D"/>
    <w:rsid w:val="00B07410"/>
    <w:rsid w:val="00B139A3"/>
    <w:rsid w:val="00B17E86"/>
    <w:rsid w:val="00B17EFE"/>
    <w:rsid w:val="00B20DFA"/>
    <w:rsid w:val="00B26E15"/>
    <w:rsid w:val="00B27C17"/>
    <w:rsid w:val="00B33AB1"/>
    <w:rsid w:val="00B4364F"/>
    <w:rsid w:val="00B44136"/>
    <w:rsid w:val="00B44F93"/>
    <w:rsid w:val="00B45593"/>
    <w:rsid w:val="00B516C8"/>
    <w:rsid w:val="00B5458D"/>
    <w:rsid w:val="00B5604B"/>
    <w:rsid w:val="00B60C32"/>
    <w:rsid w:val="00B6462F"/>
    <w:rsid w:val="00B86A42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C215E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527F"/>
    <w:rsid w:val="00C05E35"/>
    <w:rsid w:val="00C1339D"/>
    <w:rsid w:val="00C14A84"/>
    <w:rsid w:val="00C156F7"/>
    <w:rsid w:val="00C21A83"/>
    <w:rsid w:val="00C225D1"/>
    <w:rsid w:val="00C227A4"/>
    <w:rsid w:val="00C25557"/>
    <w:rsid w:val="00C25ED8"/>
    <w:rsid w:val="00C266EE"/>
    <w:rsid w:val="00C33672"/>
    <w:rsid w:val="00C43A2C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1F55"/>
    <w:rsid w:val="00C84107"/>
    <w:rsid w:val="00C90806"/>
    <w:rsid w:val="00CA35F7"/>
    <w:rsid w:val="00CA5CAF"/>
    <w:rsid w:val="00CB1132"/>
    <w:rsid w:val="00CB230E"/>
    <w:rsid w:val="00CB3C04"/>
    <w:rsid w:val="00CB482A"/>
    <w:rsid w:val="00CB7F75"/>
    <w:rsid w:val="00CC1EA7"/>
    <w:rsid w:val="00CC319B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2940"/>
    <w:rsid w:val="00D038E4"/>
    <w:rsid w:val="00D05DB2"/>
    <w:rsid w:val="00D13A70"/>
    <w:rsid w:val="00D27354"/>
    <w:rsid w:val="00D32712"/>
    <w:rsid w:val="00D454A2"/>
    <w:rsid w:val="00D45F53"/>
    <w:rsid w:val="00D46DE1"/>
    <w:rsid w:val="00D47680"/>
    <w:rsid w:val="00D53045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11C"/>
    <w:rsid w:val="00D94623"/>
    <w:rsid w:val="00DA1955"/>
    <w:rsid w:val="00DA5810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F4268"/>
    <w:rsid w:val="00DF4525"/>
    <w:rsid w:val="00DF7D22"/>
    <w:rsid w:val="00E002BA"/>
    <w:rsid w:val="00E01A2C"/>
    <w:rsid w:val="00E01F2A"/>
    <w:rsid w:val="00E05F51"/>
    <w:rsid w:val="00E21488"/>
    <w:rsid w:val="00E253A2"/>
    <w:rsid w:val="00E27221"/>
    <w:rsid w:val="00E35DC8"/>
    <w:rsid w:val="00E35E8B"/>
    <w:rsid w:val="00E3758B"/>
    <w:rsid w:val="00E4196B"/>
    <w:rsid w:val="00E4634E"/>
    <w:rsid w:val="00E56B5C"/>
    <w:rsid w:val="00E65EDD"/>
    <w:rsid w:val="00E71EFB"/>
    <w:rsid w:val="00E7570E"/>
    <w:rsid w:val="00E772AF"/>
    <w:rsid w:val="00E81541"/>
    <w:rsid w:val="00E86525"/>
    <w:rsid w:val="00EA0C3B"/>
    <w:rsid w:val="00EB10C1"/>
    <w:rsid w:val="00EC6B66"/>
    <w:rsid w:val="00ED11CA"/>
    <w:rsid w:val="00ED5C7B"/>
    <w:rsid w:val="00ED65F3"/>
    <w:rsid w:val="00EE3A31"/>
    <w:rsid w:val="00EF09F1"/>
    <w:rsid w:val="00EF0A36"/>
    <w:rsid w:val="00EF16C7"/>
    <w:rsid w:val="00EF46AB"/>
    <w:rsid w:val="00EF6A90"/>
    <w:rsid w:val="00F00CAB"/>
    <w:rsid w:val="00F12D6E"/>
    <w:rsid w:val="00F13D78"/>
    <w:rsid w:val="00F15CFA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81ECB"/>
    <w:rsid w:val="00F852CC"/>
    <w:rsid w:val="00F85829"/>
    <w:rsid w:val="00F86609"/>
    <w:rsid w:val="00F90A4C"/>
    <w:rsid w:val="00F90B6F"/>
    <w:rsid w:val="00F90C3A"/>
    <w:rsid w:val="00F968E2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2C00-9B47-40C8-A828-9BC28B6E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5760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2</cp:revision>
  <cp:lastPrinted>2016-07-25T18:12:00Z</cp:lastPrinted>
  <dcterms:created xsi:type="dcterms:W3CDTF">2017-05-22T18:19:00Z</dcterms:created>
  <dcterms:modified xsi:type="dcterms:W3CDTF">2017-05-22T18:19:00Z</dcterms:modified>
</cp:coreProperties>
</file>