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1F7132" w:rsidRPr="006F06F0" w:rsidTr="00E01F2A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1F7132" w:rsidP="00C14A84">
            <w:pPr>
              <w:pStyle w:val="Ttulo2"/>
              <w:ind w:right="-1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6F06F0" w:rsidRDefault="00E01F2A" w:rsidP="00C14A84">
            <w:pPr>
              <w:spacing w:after="0"/>
              <w:ind w:left="-169" w:right="-1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F7132" w:rsidRPr="009114C8" w:rsidRDefault="00314CC5" w:rsidP="00314CC5">
            <w:pPr>
              <w:pStyle w:val="Ttulo2"/>
              <w:ind w:right="-1"/>
              <w:jc w:val="both"/>
              <w:rPr>
                <w:rFonts w:ascii="Times New Roman" w:hAnsi="Times New Roman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sujeição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– ou não – ao regime de substituição tributária do produto “</w:t>
            </w:r>
            <w:r w:rsidR="003670F1">
              <w:rPr>
                <w:rFonts w:ascii="Times New Roman" w:hAnsi="Times New Roman"/>
                <w:szCs w:val="22"/>
              </w:rPr>
              <w:t xml:space="preserve">outros produtos </w:t>
            </w:r>
            <w:r w:rsidR="0004321D">
              <w:rPr>
                <w:rFonts w:ascii="Times New Roman" w:hAnsi="Times New Roman"/>
                <w:szCs w:val="22"/>
              </w:rPr>
              <w:t>hortícolas</w:t>
            </w:r>
            <w:r w:rsidR="003670F1">
              <w:rPr>
                <w:rFonts w:ascii="Times New Roman" w:hAnsi="Times New Roman"/>
                <w:szCs w:val="22"/>
              </w:rPr>
              <w:t xml:space="preserve"> preparados ou conservados, exceto em vinagre ou em ácido acético, congelados, com exceção dos produtos da posição 20.06, em embalagens de conteúdo superior a 1 kg</w:t>
            </w:r>
            <w:r>
              <w:rPr>
                <w:rFonts w:ascii="Times New Roman" w:hAnsi="Times New Roman"/>
                <w:szCs w:val="22"/>
              </w:rPr>
              <w:t>”</w:t>
            </w:r>
            <w:r w:rsidR="008D0CD7">
              <w:rPr>
                <w:rFonts w:ascii="Times New Roman" w:hAnsi="Times New Roman"/>
                <w:szCs w:val="22"/>
              </w:rPr>
              <w:t>.</w:t>
            </w:r>
            <w:r w:rsidR="00386DBE">
              <w:rPr>
                <w:rFonts w:ascii="Times New Roman" w:hAnsi="Times New Roman"/>
                <w:szCs w:val="22"/>
              </w:rPr>
              <w:t xml:space="preserve"> PRODUTO NÃO SUJEITO AO REGIME DE SUBSTITUIÇÃO TRIBUTÁRIA.</w:t>
            </w:r>
          </w:p>
        </w:tc>
      </w:tr>
    </w:tbl>
    <w:p w:rsidR="003D5849" w:rsidRPr="003D5849" w:rsidRDefault="003D5849" w:rsidP="00C14A84">
      <w:pPr>
        <w:pStyle w:val="Corpodetexto"/>
        <w:spacing w:line="360" w:lineRule="auto"/>
        <w:ind w:right="-1" w:firstLine="709"/>
        <w:jc w:val="both"/>
        <w:rPr>
          <w:sz w:val="8"/>
          <w:szCs w:val="22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655"/>
      </w:tblGrid>
      <w:tr w:rsidR="00E11B24" w:rsidRPr="006F06F0" w:rsidTr="001C62A8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11B24" w:rsidRPr="006F06F0" w:rsidRDefault="00E11B24" w:rsidP="001C62A8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1B24" w:rsidRPr="006F06F0" w:rsidRDefault="00E11B24" w:rsidP="001C62A8">
            <w:pPr>
              <w:spacing w:after="0"/>
              <w:ind w:left="-169" w:right="-366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11B24" w:rsidRPr="00CD274E" w:rsidRDefault="00E11B24" w:rsidP="00386DBE">
            <w:pPr>
              <w:pStyle w:val="Ttulo2"/>
              <w:ind w:right="72"/>
              <w:rPr>
                <w:rFonts w:ascii="Times New Roman" w:hAnsi="Times New Roman"/>
                <w:sz w:val="12"/>
                <w:szCs w:val="22"/>
              </w:rPr>
            </w:pPr>
          </w:p>
          <w:p w:rsidR="00E11B24" w:rsidRPr="006F06F0" w:rsidRDefault="00E11B24" w:rsidP="001C62A8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 xml:space="preserve">Consulta nº       </w:t>
            </w:r>
            <w:r w:rsidR="00CF4A95">
              <w:rPr>
                <w:rFonts w:ascii="Times New Roman" w:hAnsi="Times New Roman"/>
                <w:szCs w:val="22"/>
              </w:rPr>
              <w:t>041</w:t>
            </w:r>
            <w:r w:rsidRPr="006F06F0">
              <w:rPr>
                <w:rFonts w:ascii="Times New Roman" w:hAnsi="Times New Roman"/>
                <w:szCs w:val="22"/>
              </w:rPr>
              <w:t xml:space="preserve">  /201</w:t>
            </w:r>
            <w:r>
              <w:rPr>
                <w:rFonts w:ascii="Times New Roman" w:hAnsi="Times New Roman"/>
                <w:szCs w:val="22"/>
              </w:rPr>
              <w:t>6</w:t>
            </w:r>
          </w:p>
          <w:p w:rsidR="00E11B24" w:rsidRPr="00CD274E" w:rsidRDefault="00E11B24" w:rsidP="001C62A8">
            <w:pPr>
              <w:ind w:right="72"/>
              <w:jc w:val="right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E11B24" w:rsidRPr="00386DBE" w:rsidRDefault="00E11B24" w:rsidP="003D5849">
      <w:pPr>
        <w:spacing w:after="0" w:line="360" w:lineRule="auto"/>
        <w:ind w:right="-852" w:firstLine="708"/>
        <w:jc w:val="both"/>
        <w:rPr>
          <w:rFonts w:ascii="Times New Roman" w:hAnsi="Times New Roman" w:cs="Times New Roman"/>
          <w:b/>
          <w:sz w:val="6"/>
        </w:rPr>
      </w:pPr>
    </w:p>
    <w:p w:rsidR="00E11B24" w:rsidRDefault="00E11B24" w:rsidP="00E11B24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 – RELATÓRIO</w:t>
      </w:r>
    </w:p>
    <w:p w:rsidR="003D5849" w:rsidRPr="00386DBE" w:rsidRDefault="003D5849" w:rsidP="00C14A84">
      <w:pPr>
        <w:pStyle w:val="Corpodetexto"/>
        <w:spacing w:line="360" w:lineRule="auto"/>
        <w:ind w:right="-1" w:firstLine="709"/>
        <w:jc w:val="both"/>
        <w:rPr>
          <w:sz w:val="10"/>
          <w:szCs w:val="22"/>
        </w:rPr>
      </w:pPr>
    </w:p>
    <w:p w:rsidR="004136EA" w:rsidRPr="008D0CD7" w:rsidRDefault="004136EA" w:rsidP="0004321D">
      <w:pPr>
        <w:pStyle w:val="Corpodetexto"/>
        <w:spacing w:line="360" w:lineRule="auto"/>
        <w:ind w:right="-1" w:firstLine="709"/>
        <w:jc w:val="both"/>
        <w:rPr>
          <w:b/>
          <w:sz w:val="22"/>
          <w:szCs w:val="22"/>
        </w:rPr>
      </w:pPr>
      <w:r w:rsidRPr="004136EA">
        <w:rPr>
          <w:sz w:val="22"/>
          <w:szCs w:val="22"/>
        </w:rPr>
        <w:t xml:space="preserve">A </w:t>
      </w:r>
      <w:r w:rsidR="003716F0">
        <w:rPr>
          <w:sz w:val="22"/>
          <w:szCs w:val="22"/>
        </w:rPr>
        <w:t xml:space="preserve">empresa </w:t>
      </w:r>
      <w:r w:rsidRPr="004136EA">
        <w:rPr>
          <w:sz w:val="22"/>
          <w:szCs w:val="22"/>
        </w:rPr>
        <w:t xml:space="preserve">consulente vem solicitar </w:t>
      </w:r>
      <w:r w:rsidRPr="00084116">
        <w:rPr>
          <w:b/>
          <w:sz w:val="22"/>
          <w:szCs w:val="22"/>
        </w:rPr>
        <w:t xml:space="preserve">o entendimento desta Superintendência </w:t>
      </w:r>
      <w:r w:rsidR="003716F0" w:rsidRPr="00084116">
        <w:rPr>
          <w:b/>
          <w:sz w:val="22"/>
          <w:szCs w:val="22"/>
        </w:rPr>
        <w:t xml:space="preserve">de Tributação </w:t>
      </w:r>
      <w:r w:rsidR="00E16598" w:rsidRPr="00E16598">
        <w:rPr>
          <w:b/>
          <w:sz w:val="22"/>
          <w:szCs w:val="22"/>
        </w:rPr>
        <w:t xml:space="preserve">sobre </w:t>
      </w:r>
      <w:r w:rsidR="003670F1" w:rsidRPr="003670F1">
        <w:rPr>
          <w:b/>
          <w:sz w:val="22"/>
          <w:szCs w:val="22"/>
        </w:rPr>
        <w:t xml:space="preserve">a sujeição – ou não – ao regime de substituição tributária do produto “outros produtos </w:t>
      </w:r>
      <w:r w:rsidR="0004321D" w:rsidRPr="003670F1">
        <w:rPr>
          <w:b/>
          <w:sz w:val="22"/>
          <w:szCs w:val="22"/>
        </w:rPr>
        <w:t>hortícolas</w:t>
      </w:r>
      <w:r w:rsidR="003670F1" w:rsidRPr="003670F1">
        <w:rPr>
          <w:b/>
          <w:sz w:val="22"/>
          <w:szCs w:val="22"/>
        </w:rPr>
        <w:t xml:space="preserve"> preparados ou conservados, exceto em vinagre ou em ácido acético, congelados, com exceção dos produtos da posição 20.06, em embalagens de conteúdo superior a 1 kg”.</w:t>
      </w:r>
    </w:p>
    <w:p w:rsidR="003670F1" w:rsidRDefault="003670F1" w:rsidP="003670F1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8D0CD7">
        <w:rPr>
          <w:sz w:val="22"/>
          <w:szCs w:val="22"/>
        </w:rPr>
        <w:t>O processo encontra-se instruído com</w:t>
      </w:r>
      <w:r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>DARJ referente ao recolhimento da taxa de serviços Estaduais (fl</w:t>
      </w:r>
      <w:r>
        <w:rPr>
          <w:sz w:val="22"/>
          <w:szCs w:val="22"/>
        </w:rPr>
        <w:t>s</w:t>
      </w:r>
      <w:r w:rsidRPr="008D0CD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09/11), </w:t>
      </w:r>
      <w:r w:rsidRPr="008D0CD7">
        <w:rPr>
          <w:sz w:val="22"/>
          <w:szCs w:val="22"/>
        </w:rPr>
        <w:t>bem como</w:t>
      </w:r>
      <w:r w:rsidRPr="003670F1">
        <w:rPr>
          <w:sz w:val="22"/>
          <w:szCs w:val="22"/>
        </w:rPr>
        <w:t xml:space="preserve"> </w:t>
      </w:r>
      <w:r w:rsidRPr="008D0CD7">
        <w:rPr>
          <w:sz w:val="22"/>
          <w:szCs w:val="22"/>
        </w:rPr>
        <w:t xml:space="preserve">com </w:t>
      </w:r>
      <w:r>
        <w:rPr>
          <w:sz w:val="22"/>
          <w:szCs w:val="22"/>
        </w:rPr>
        <w:t>cópias reprográficas</w:t>
      </w:r>
      <w:r w:rsidRPr="00524448">
        <w:rPr>
          <w:sz w:val="22"/>
          <w:szCs w:val="22"/>
        </w:rPr>
        <w:t xml:space="preserve"> que comprovam a habilitação do signatário da petição inicial</w:t>
      </w:r>
      <w:r w:rsidRPr="008D0CD7">
        <w:rPr>
          <w:sz w:val="22"/>
          <w:szCs w:val="22"/>
        </w:rPr>
        <w:t xml:space="preserve"> (fl</w:t>
      </w:r>
      <w:r>
        <w:rPr>
          <w:sz w:val="22"/>
          <w:szCs w:val="22"/>
        </w:rPr>
        <w:t>s. 12/30</w:t>
      </w:r>
      <w:r w:rsidRPr="008D0CD7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C475BC" w:rsidRPr="00C475BC" w:rsidRDefault="00C475BC" w:rsidP="00C475BC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 w:rsidRPr="00C475BC">
        <w:rPr>
          <w:sz w:val="22"/>
          <w:szCs w:val="22"/>
        </w:rPr>
        <w:t xml:space="preserve">Em primeira análise, foi solicitado por esta CCJT </w:t>
      </w:r>
      <w:r>
        <w:rPr>
          <w:sz w:val="22"/>
          <w:szCs w:val="22"/>
        </w:rPr>
        <w:t xml:space="preserve">(fls. 33/35) </w:t>
      </w:r>
      <w:r w:rsidRPr="00C475BC">
        <w:rPr>
          <w:sz w:val="22"/>
          <w:szCs w:val="22"/>
        </w:rPr>
        <w:t xml:space="preserve">que a IRF 64.15 – Barra da Tijuca informasse </w:t>
      </w:r>
      <w:r w:rsidR="0073148A" w:rsidRPr="00C475BC">
        <w:rPr>
          <w:sz w:val="22"/>
          <w:szCs w:val="22"/>
        </w:rPr>
        <w:t>se</w:t>
      </w:r>
      <w:r w:rsidR="00F00CAB" w:rsidRPr="00C475BC">
        <w:rPr>
          <w:sz w:val="22"/>
          <w:szCs w:val="22"/>
        </w:rPr>
        <w:t xml:space="preserve"> </w:t>
      </w:r>
      <w:r w:rsidR="004A46B7" w:rsidRPr="00C475BC">
        <w:rPr>
          <w:sz w:val="22"/>
          <w:szCs w:val="22"/>
        </w:rPr>
        <w:t>foi iniciada e ainda não concluída alguma fi</w:t>
      </w:r>
      <w:r w:rsidRPr="00C475BC">
        <w:rPr>
          <w:sz w:val="22"/>
          <w:szCs w:val="22"/>
        </w:rPr>
        <w:t>scalização junto ao consulente e se a consulente sofreu alguma autuação, ainda pendente de decisão final, cujo fundamento esteja direta ou indiretamente relacionado às dúvidas suscitadas, conforme determinam os incisos I e II do artigo 3° da Resolução nº 109/76.</w:t>
      </w:r>
    </w:p>
    <w:p w:rsidR="00C475BC" w:rsidRDefault="00C475BC" w:rsidP="00C475BC">
      <w:pPr>
        <w:pStyle w:val="Corpodetexto"/>
        <w:spacing w:line="360" w:lineRule="auto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sua vez, a </w:t>
      </w:r>
      <w:r w:rsidRPr="00C475BC">
        <w:rPr>
          <w:sz w:val="22"/>
          <w:szCs w:val="22"/>
        </w:rPr>
        <w:t>IRF 64.15 – Barra da Tijuca</w:t>
      </w:r>
      <w:r>
        <w:rPr>
          <w:sz w:val="22"/>
          <w:szCs w:val="22"/>
        </w:rPr>
        <w:t xml:space="preserve"> informou que o contribuinte não se encontra </w:t>
      </w:r>
      <w:proofErr w:type="gramStart"/>
      <w:r>
        <w:rPr>
          <w:sz w:val="22"/>
          <w:szCs w:val="22"/>
        </w:rPr>
        <w:t>sob ação</w:t>
      </w:r>
      <w:proofErr w:type="gramEnd"/>
      <w:r>
        <w:rPr>
          <w:sz w:val="22"/>
          <w:szCs w:val="22"/>
        </w:rPr>
        <w:t xml:space="preserve"> fiscal, e tampouco foi encontrado auto de infraç</w:t>
      </w:r>
      <w:r w:rsidR="00F43F36">
        <w:rPr>
          <w:sz w:val="22"/>
          <w:szCs w:val="22"/>
        </w:rPr>
        <w:t>ão relativo à</w:t>
      </w:r>
      <w:r>
        <w:rPr>
          <w:sz w:val="22"/>
          <w:szCs w:val="22"/>
        </w:rPr>
        <w:t xml:space="preserve"> matéria pendente de decisão (fl. 36).</w:t>
      </w:r>
    </w:p>
    <w:p w:rsidR="00E86E8C" w:rsidRDefault="00E86E8C" w:rsidP="00F43F36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</w:p>
    <w:p w:rsidR="00F43F36" w:rsidRPr="004136EA" w:rsidRDefault="00F43F36" w:rsidP="00F43F36">
      <w:pPr>
        <w:pStyle w:val="Corpodetexto"/>
        <w:spacing w:line="360" w:lineRule="auto"/>
        <w:ind w:right="-852" w:firstLine="709"/>
        <w:jc w:val="both"/>
        <w:rPr>
          <w:b/>
          <w:sz w:val="22"/>
          <w:szCs w:val="22"/>
        </w:rPr>
      </w:pPr>
      <w:proofErr w:type="gramStart"/>
      <w:r w:rsidRPr="004136EA">
        <w:rPr>
          <w:b/>
          <w:sz w:val="22"/>
          <w:szCs w:val="22"/>
        </w:rPr>
        <w:t>ISTO POSTO</w:t>
      </w:r>
      <w:proofErr w:type="gramEnd"/>
      <w:r w:rsidRPr="004136EA">
        <w:rPr>
          <w:b/>
          <w:sz w:val="22"/>
          <w:szCs w:val="22"/>
        </w:rPr>
        <w:t>, CONSULTA:</w:t>
      </w:r>
    </w:p>
    <w:p w:rsidR="00E86E8C" w:rsidRDefault="00E86E8C" w:rsidP="00F43F36">
      <w:pPr>
        <w:pStyle w:val="Corpodetexto"/>
        <w:spacing w:line="360" w:lineRule="auto"/>
        <w:ind w:right="-1" w:firstLine="709"/>
        <w:jc w:val="both"/>
        <w:rPr>
          <w:i/>
          <w:sz w:val="22"/>
          <w:szCs w:val="22"/>
        </w:rPr>
      </w:pPr>
    </w:p>
    <w:p w:rsidR="00C475BC" w:rsidRDefault="00A434AD" w:rsidP="00F43F36">
      <w:pPr>
        <w:pStyle w:val="Corpodetexto"/>
        <w:spacing w:line="360" w:lineRule="auto"/>
        <w:ind w:right="-1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Comercializamos e importamos dentro do Estado do Rio de Janeiro, o produto cuja posição/classificação 91.1/17.091.01/2004, descrição: “</w:t>
      </w:r>
      <w:r w:rsidRPr="00A434AD">
        <w:rPr>
          <w:sz w:val="22"/>
          <w:szCs w:val="22"/>
        </w:rPr>
        <w:t xml:space="preserve">Outros produtos hortícolas preparados ou conservados, exceto em vinagre ou em ácido acético, congelados, com exceção dos produtos da posição 20.06, em embalagens de conteúdo superior a </w:t>
      </w:r>
      <w:proofErr w:type="gramStart"/>
      <w:r w:rsidRPr="00A434AD">
        <w:rPr>
          <w:sz w:val="22"/>
          <w:szCs w:val="22"/>
        </w:rPr>
        <w:t>1kg</w:t>
      </w:r>
      <w:proofErr w:type="gramEnd"/>
      <w:r>
        <w:rPr>
          <w:i/>
          <w:sz w:val="22"/>
          <w:szCs w:val="22"/>
        </w:rPr>
        <w:t>” (vide fixa técnica</w:t>
      </w:r>
      <w:r w:rsidR="00663AE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anexa) constante na listagem do novo Convênio do ICMS 146 de 11 de dezembro de 2015, publicado pelo CONFAZ que </w:t>
      </w:r>
      <w:r w:rsidR="00663AEB" w:rsidRPr="00663AEB">
        <w:rPr>
          <w:b/>
          <w:i/>
          <w:sz w:val="22"/>
          <w:szCs w:val="22"/>
        </w:rPr>
        <w:t>trata dos produtos que passam a ter tratamento de substituição tributária</w:t>
      </w:r>
      <w:r w:rsidR="00663AEB">
        <w:rPr>
          <w:i/>
          <w:sz w:val="22"/>
          <w:szCs w:val="22"/>
        </w:rPr>
        <w:t xml:space="preserve">. Com base neste Convênio, para saídas de mercadorias no Estado do Rio de Janeiro, este produto também </w:t>
      </w:r>
      <w:r w:rsidR="00663AEB">
        <w:rPr>
          <w:i/>
          <w:sz w:val="22"/>
          <w:szCs w:val="22"/>
        </w:rPr>
        <w:lastRenderedPageBreak/>
        <w:t>passará a ter tratamento de substituição tributária?</w:t>
      </w:r>
    </w:p>
    <w:p w:rsidR="00F43F36" w:rsidRPr="00D434F1" w:rsidRDefault="00F43F36" w:rsidP="00F43F36">
      <w:pPr>
        <w:pStyle w:val="Corpodetexto"/>
        <w:spacing w:line="360" w:lineRule="auto"/>
        <w:ind w:left="1069"/>
        <w:jc w:val="both"/>
        <w:rPr>
          <w:i/>
          <w:sz w:val="20"/>
          <w:szCs w:val="22"/>
        </w:rPr>
      </w:pPr>
    </w:p>
    <w:p w:rsidR="00F43F36" w:rsidRPr="006F06F0" w:rsidRDefault="00F43F36" w:rsidP="00F43F36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>II – ANÁLISE E FUNDAMENTAÇÃO</w:t>
      </w:r>
    </w:p>
    <w:p w:rsidR="00F43F36" w:rsidRPr="00D434F1" w:rsidRDefault="00F43F36" w:rsidP="00F43F36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0"/>
        </w:rPr>
      </w:pPr>
    </w:p>
    <w:p w:rsidR="00663AEB" w:rsidRPr="00663AEB" w:rsidRDefault="00663AEB" w:rsidP="00663A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663AEB">
        <w:rPr>
          <w:rFonts w:ascii="Times New Roman" w:eastAsia="Times New Roman" w:hAnsi="Times New Roman" w:cs="Times New Roman"/>
          <w:lang w:eastAsia="pt-BR"/>
        </w:rPr>
        <w:t>Preliminarmente, esclarecemos que o Convênio ICMS 92/15, que estabelece a sistemática de uniformização e identificação das mercadorias e bens passíveis de sujeição aos regimes de substituição tributária e de antecipação de recolhimento do ICMS com o encerramento de tributação, relativos às operações subsequentes, alterado pelos Convênios ICMS 139/15, 146/15 e 16/16, tem como principais objetivos:</w:t>
      </w:r>
    </w:p>
    <w:p w:rsidR="00663AEB" w:rsidRPr="003C23BB" w:rsidRDefault="00663AEB" w:rsidP="003C23BB">
      <w:pPr>
        <w:pStyle w:val="PargrafodaLista"/>
        <w:numPr>
          <w:ilvl w:val="0"/>
          <w:numId w:val="3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3C23BB">
        <w:rPr>
          <w:rFonts w:ascii="Times New Roman" w:eastAsia="Times New Roman" w:hAnsi="Times New Roman" w:cs="Times New Roman"/>
          <w:lang w:eastAsia="pt-BR"/>
        </w:rPr>
        <w:t>definir</w:t>
      </w:r>
      <w:proofErr w:type="gramEnd"/>
      <w:r w:rsidRPr="003C23BB">
        <w:rPr>
          <w:rFonts w:ascii="Times New Roman" w:eastAsia="Times New Roman" w:hAnsi="Times New Roman" w:cs="Times New Roman"/>
          <w:lang w:eastAsia="pt-BR"/>
        </w:rPr>
        <w:t xml:space="preserve"> quais mercadorias </w:t>
      </w:r>
      <w:r w:rsidRPr="003C23BB">
        <w:rPr>
          <w:rFonts w:ascii="Times New Roman" w:eastAsia="Times New Roman" w:hAnsi="Times New Roman" w:cs="Times New Roman"/>
          <w:b/>
          <w:u w:val="single"/>
          <w:lang w:eastAsia="pt-BR"/>
        </w:rPr>
        <w:t>poderão</w:t>
      </w:r>
      <w:r w:rsidRPr="003C23BB">
        <w:rPr>
          <w:rFonts w:ascii="Times New Roman" w:eastAsia="Times New Roman" w:hAnsi="Times New Roman" w:cs="Times New Roman"/>
          <w:lang w:eastAsia="pt-BR"/>
        </w:rPr>
        <w:t xml:space="preserve"> ser incluídas pelos Estados e pelo Distrito Federal nos regimes de substituição tributária e de antecipação do recolhimento do imposto com encerramento de tributação, relativos às operações subsequentes. Portanto, </w:t>
      </w:r>
      <w:r w:rsidRPr="003C23BB">
        <w:rPr>
          <w:rFonts w:ascii="Times New Roman" w:eastAsia="Times New Roman" w:hAnsi="Times New Roman" w:cs="Times New Roman"/>
          <w:b/>
          <w:u w:val="single"/>
          <w:lang w:eastAsia="pt-BR"/>
        </w:rPr>
        <w:t>a lista é autorizativa</w:t>
      </w:r>
      <w:r w:rsidRPr="003C23BB">
        <w:rPr>
          <w:rFonts w:ascii="Times New Roman" w:eastAsia="Times New Roman" w:hAnsi="Times New Roman" w:cs="Times New Roman"/>
          <w:lang w:eastAsia="pt-BR"/>
        </w:rPr>
        <w:t xml:space="preserve"> para essas unidades federadas;</w:t>
      </w:r>
    </w:p>
    <w:p w:rsidR="00663AEB" w:rsidRPr="003C23BB" w:rsidRDefault="00663AEB" w:rsidP="003C23BB">
      <w:pPr>
        <w:pStyle w:val="PargrafodaLista"/>
        <w:numPr>
          <w:ilvl w:val="0"/>
          <w:numId w:val="3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3C23BB">
        <w:rPr>
          <w:rFonts w:ascii="Times New Roman" w:eastAsia="Times New Roman" w:hAnsi="Times New Roman" w:cs="Times New Roman"/>
          <w:lang w:eastAsia="pt-BR"/>
        </w:rPr>
        <w:t>padronizar</w:t>
      </w:r>
      <w:proofErr w:type="gramEnd"/>
      <w:r w:rsidRPr="003C23BB">
        <w:rPr>
          <w:rFonts w:ascii="Times New Roman" w:eastAsia="Times New Roman" w:hAnsi="Times New Roman" w:cs="Times New Roman"/>
          <w:lang w:eastAsia="pt-BR"/>
        </w:rPr>
        <w:t xml:space="preserve"> as descrições e codificações das mercadorias sujeitas aos regimes de substituição tributária e de antecipação do recolhimento do imposto com encerramento de tributação, relativos às operações subsequentes;</w:t>
      </w:r>
    </w:p>
    <w:p w:rsidR="00663AEB" w:rsidRPr="003C23BB" w:rsidRDefault="00663AEB" w:rsidP="003C23BB">
      <w:pPr>
        <w:pStyle w:val="PargrafodaLista"/>
        <w:numPr>
          <w:ilvl w:val="0"/>
          <w:numId w:val="3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3C23BB">
        <w:rPr>
          <w:rFonts w:ascii="Times New Roman" w:eastAsia="Times New Roman" w:hAnsi="Times New Roman" w:cs="Times New Roman"/>
          <w:lang w:eastAsia="pt-BR"/>
        </w:rPr>
        <w:t>permitir</w:t>
      </w:r>
      <w:proofErr w:type="gramEnd"/>
      <w:r w:rsidRPr="003C23BB">
        <w:rPr>
          <w:rFonts w:ascii="Times New Roman" w:eastAsia="Times New Roman" w:hAnsi="Times New Roman" w:cs="Times New Roman"/>
          <w:lang w:eastAsia="pt-BR"/>
        </w:rPr>
        <w:t xml:space="preserve"> a correta identificação de mercadorias que, embora sejam distintas, são classificadas em um mesmo código NCM/SH;</w:t>
      </w:r>
    </w:p>
    <w:p w:rsidR="00663AEB" w:rsidRPr="003C23BB" w:rsidRDefault="00663AEB" w:rsidP="003C23BB">
      <w:pPr>
        <w:pStyle w:val="PargrafodaLista"/>
        <w:numPr>
          <w:ilvl w:val="0"/>
          <w:numId w:val="3"/>
        </w:numPr>
        <w:spacing w:after="0" w:line="360" w:lineRule="auto"/>
        <w:ind w:left="426" w:right="-1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3C23BB">
        <w:rPr>
          <w:rFonts w:ascii="Times New Roman" w:eastAsia="Times New Roman" w:hAnsi="Times New Roman" w:cs="Times New Roman"/>
          <w:lang w:eastAsia="pt-BR"/>
        </w:rPr>
        <w:t>atribuir</w:t>
      </w:r>
      <w:proofErr w:type="gramEnd"/>
      <w:r w:rsidRPr="003C23BB">
        <w:rPr>
          <w:rFonts w:ascii="Times New Roman" w:eastAsia="Times New Roman" w:hAnsi="Times New Roman" w:cs="Times New Roman"/>
          <w:lang w:eastAsia="pt-BR"/>
        </w:rPr>
        <w:t xml:space="preserve"> o Código Especificador da Substituição Tributária - CEST, permitindo a correta identificação da mercadoria passível de sujeição aos regimes de substituição tributária e de antecipação do recolhimento do imposto com encerramento de tributação, relativos às operações subsequentes e, consequentemente, do tratamento tributário ao qual ela é submetida;</w:t>
      </w:r>
    </w:p>
    <w:p w:rsidR="003C23BB" w:rsidRDefault="00E6697C" w:rsidP="003C23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Ainda</w:t>
      </w:r>
      <w:r w:rsidR="003C23BB">
        <w:rPr>
          <w:rFonts w:ascii="Times New Roman" w:eastAsia="Times New Roman" w:hAnsi="Times New Roman" w:cs="Times New Roman"/>
          <w:lang w:eastAsia="pt-BR"/>
        </w:rPr>
        <w:t xml:space="preserve">, </w:t>
      </w:r>
      <w:r w:rsidR="003C23BB" w:rsidRPr="00386DBE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informamos que as mercadorias sujeitas ao regime de substituição tributária no Estado do Rio de Janeiro são aquelas listadas no </w:t>
      </w:r>
      <w:r w:rsidR="003C23BB" w:rsidRPr="00386DBE">
        <w:rPr>
          <w:rFonts w:ascii="Times New Roman" w:hAnsi="Times New Roman" w:cs="Times New Roman"/>
          <w:b/>
          <w:u w:val="single"/>
        </w:rPr>
        <w:t>Anexo I do Livro II do RICMS-RJ/00, aprovado pelo Decreto nº 27.427/00</w:t>
      </w:r>
      <w:r w:rsidR="00386DBE" w:rsidRPr="00386DBE">
        <w:rPr>
          <w:rFonts w:ascii="Times New Roman" w:hAnsi="Times New Roman" w:cs="Times New Roman"/>
          <w:b/>
          <w:u w:val="single"/>
        </w:rPr>
        <w:t>.</w:t>
      </w:r>
    </w:p>
    <w:p w:rsidR="003C23BB" w:rsidRPr="00112B11" w:rsidRDefault="00E6697C" w:rsidP="003C23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C23BB" w:rsidRPr="00112B11">
        <w:rPr>
          <w:rFonts w:ascii="Times New Roman" w:hAnsi="Times New Roman" w:cs="Times New Roman"/>
        </w:rPr>
        <w:t>essalt</w:t>
      </w:r>
      <w:r>
        <w:rPr>
          <w:rFonts w:ascii="Times New Roman" w:hAnsi="Times New Roman" w:cs="Times New Roman"/>
        </w:rPr>
        <w:t>e-se</w:t>
      </w:r>
      <w:r w:rsidR="003C23BB" w:rsidRPr="00112B11">
        <w:rPr>
          <w:rFonts w:ascii="Times New Roman" w:hAnsi="Times New Roman" w:cs="Times New Roman"/>
        </w:rPr>
        <w:t xml:space="preserve"> que a informação sobre a classificação fiscal do produto, segundo a NCM/SH, é de responsabilidade da consulente, e a competência para sanar qualquer dúvida relativa a tal classificação é da Secretaria da Receita Federal do Brasil.</w:t>
      </w:r>
    </w:p>
    <w:p w:rsidR="003C23BB" w:rsidRDefault="003C23BB" w:rsidP="003C23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Ademais, a</w:t>
      </w:r>
      <w:r w:rsidRPr="00112B11">
        <w:rPr>
          <w:rFonts w:ascii="Times New Roman" w:hAnsi="Times New Roman" w:cs="Times New Roman"/>
        </w:rPr>
        <w:t xml:space="preserve"> verificação quanto à sujeição de determinada mercadoria ao regime de substituição tributária, na lista de mercadorias do Anexo I do Livro II do RICMS-RJ, deve ser feita considerando-se, simultaneamente, a classificação na NCM/SH e a descrição do produto. </w:t>
      </w:r>
    </w:p>
    <w:p w:rsidR="00225250" w:rsidRDefault="00386DBE" w:rsidP="003C23B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lastRenderedPageBreak/>
        <w:t>Logo, relativamente ao</w:t>
      </w:r>
      <w:r w:rsidR="003C23BB">
        <w:rPr>
          <w:rFonts w:ascii="Times New Roman" w:hAnsi="Times New Roman" w:cs="Times New Roman"/>
        </w:rPr>
        <w:t xml:space="preserve"> questionamento apresentado, informamos que </w:t>
      </w:r>
      <w:r w:rsidR="003C23BB" w:rsidRPr="000F5415">
        <w:rPr>
          <w:rFonts w:ascii="Times New Roman" w:hAnsi="Times New Roman" w:cs="Times New Roman"/>
          <w:b/>
          <w:u w:val="single"/>
        </w:rPr>
        <w:t>o produto “</w:t>
      </w:r>
      <w:r w:rsidRPr="00386DBE">
        <w:rPr>
          <w:rFonts w:ascii="Times New Roman" w:hAnsi="Times New Roman" w:cs="Times New Roman"/>
          <w:b/>
          <w:u w:val="single"/>
        </w:rPr>
        <w:t xml:space="preserve">Outros produtos hortícolas preparados ou conservados, exceto em vinagre ou em ácido acético, congelados, com exceção dos produtos da posição 20.06, em embalagens de conteúdo superior a </w:t>
      </w:r>
      <w:proofErr w:type="gramStart"/>
      <w:r w:rsidRPr="00386DBE">
        <w:rPr>
          <w:rFonts w:ascii="Times New Roman" w:hAnsi="Times New Roman" w:cs="Times New Roman"/>
          <w:b/>
          <w:u w:val="single"/>
        </w:rPr>
        <w:t>1kg</w:t>
      </w:r>
      <w:proofErr w:type="gramEnd"/>
      <w:r w:rsidR="003C23BB" w:rsidRPr="000F5415">
        <w:rPr>
          <w:rFonts w:ascii="Times New Roman" w:hAnsi="Times New Roman" w:cs="Times New Roman"/>
          <w:b/>
          <w:u w:val="single"/>
        </w:rPr>
        <w:t xml:space="preserve">”, com NCM </w:t>
      </w:r>
      <w:r w:rsidRPr="00386DBE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.</w:t>
      </w:r>
      <w:r w:rsidRPr="00386DBE">
        <w:rPr>
          <w:rFonts w:ascii="Times New Roman" w:hAnsi="Times New Roman" w:cs="Times New Roman"/>
          <w:b/>
          <w:u w:val="single"/>
        </w:rPr>
        <w:t>04</w:t>
      </w:r>
      <w:r w:rsidR="003C23BB" w:rsidRPr="000F5415">
        <w:rPr>
          <w:rFonts w:ascii="Times New Roman" w:hAnsi="Times New Roman" w:cs="Times New Roman"/>
          <w:b/>
          <w:u w:val="single"/>
        </w:rPr>
        <w:t>, não está sujeito ao regime de substituição tributária no Estado do Rio de Janeiro</w:t>
      </w:r>
      <w:r w:rsidR="003C23BB">
        <w:rPr>
          <w:rFonts w:ascii="Times New Roman" w:hAnsi="Times New Roman" w:cs="Times New Roman"/>
        </w:rPr>
        <w:t xml:space="preserve">, de acordo com a redação vigente do Anexo I do </w:t>
      </w:r>
      <w:r w:rsidR="003C23BB" w:rsidRPr="00112B11">
        <w:rPr>
          <w:rFonts w:ascii="Times New Roman" w:hAnsi="Times New Roman" w:cs="Times New Roman"/>
        </w:rPr>
        <w:t>Livro II do RICMS</w:t>
      </w:r>
      <w:r w:rsidR="003C23BB">
        <w:rPr>
          <w:rFonts w:ascii="Times New Roman" w:hAnsi="Times New Roman" w:cs="Times New Roman"/>
        </w:rPr>
        <w:t>-</w:t>
      </w:r>
      <w:r w:rsidR="003C23BB" w:rsidRPr="00112B11">
        <w:rPr>
          <w:rFonts w:ascii="Times New Roman" w:hAnsi="Times New Roman" w:cs="Times New Roman"/>
        </w:rPr>
        <w:t>RJ/00</w:t>
      </w:r>
      <w:r>
        <w:rPr>
          <w:rFonts w:ascii="Times New Roman" w:hAnsi="Times New Roman" w:cs="Times New Roman"/>
        </w:rPr>
        <w:t>.</w:t>
      </w:r>
    </w:p>
    <w:p w:rsidR="00225250" w:rsidRDefault="00225250" w:rsidP="0008411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</w:p>
    <w:p w:rsidR="00225250" w:rsidRDefault="00225250" w:rsidP="0022525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  <w:r w:rsidRPr="006F06F0">
        <w:rPr>
          <w:rFonts w:ascii="Times New Roman" w:hAnsi="Times New Roman" w:cs="Times New Roman"/>
          <w:b/>
        </w:rPr>
        <w:t xml:space="preserve">III – </w:t>
      </w:r>
      <w:r>
        <w:rPr>
          <w:rFonts w:ascii="Times New Roman" w:hAnsi="Times New Roman" w:cs="Times New Roman"/>
          <w:b/>
        </w:rPr>
        <w:t>RESPOSTA</w:t>
      </w:r>
    </w:p>
    <w:p w:rsidR="00225250" w:rsidRPr="006F06F0" w:rsidRDefault="00225250" w:rsidP="00225250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</w:rPr>
      </w:pPr>
    </w:p>
    <w:p w:rsidR="00225250" w:rsidRPr="00C524B8" w:rsidRDefault="00225250" w:rsidP="00225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6"/>
        </w:rPr>
      </w:pPr>
    </w:p>
    <w:p w:rsidR="00225250" w:rsidRDefault="00225250" w:rsidP="002252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Considerando o exposto</w:t>
      </w:r>
      <w:r w:rsidRPr="006865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86DBE" w:rsidRPr="000F5415">
        <w:rPr>
          <w:rFonts w:ascii="Times New Roman" w:hAnsi="Times New Roman" w:cs="Times New Roman"/>
          <w:b/>
          <w:u w:val="single"/>
        </w:rPr>
        <w:t>o produto “</w:t>
      </w:r>
      <w:r w:rsidR="00386DBE" w:rsidRPr="00386DBE">
        <w:rPr>
          <w:rFonts w:ascii="Times New Roman" w:hAnsi="Times New Roman" w:cs="Times New Roman"/>
          <w:b/>
          <w:u w:val="single"/>
        </w:rPr>
        <w:t xml:space="preserve">Outros produtos hortícolas preparados ou conservados, exceto em vinagre ou em ácido acético, congelados, com exceção dos produtos da posição 20.06, em embalagens de conteúdo superior a </w:t>
      </w:r>
      <w:proofErr w:type="gramStart"/>
      <w:r w:rsidR="00386DBE" w:rsidRPr="00386DBE">
        <w:rPr>
          <w:rFonts w:ascii="Times New Roman" w:hAnsi="Times New Roman" w:cs="Times New Roman"/>
          <w:b/>
          <w:u w:val="single"/>
        </w:rPr>
        <w:t>1kg</w:t>
      </w:r>
      <w:proofErr w:type="gramEnd"/>
      <w:r w:rsidR="00386DBE" w:rsidRPr="000F5415">
        <w:rPr>
          <w:rFonts w:ascii="Times New Roman" w:hAnsi="Times New Roman" w:cs="Times New Roman"/>
          <w:b/>
          <w:u w:val="single"/>
        </w:rPr>
        <w:t xml:space="preserve">”, com NCM </w:t>
      </w:r>
      <w:r w:rsidR="00386DBE" w:rsidRPr="00386DBE">
        <w:rPr>
          <w:rFonts w:ascii="Times New Roman" w:hAnsi="Times New Roman" w:cs="Times New Roman"/>
          <w:b/>
          <w:u w:val="single"/>
        </w:rPr>
        <w:t>20</w:t>
      </w:r>
      <w:r w:rsidR="00386DBE">
        <w:rPr>
          <w:rFonts w:ascii="Times New Roman" w:hAnsi="Times New Roman" w:cs="Times New Roman"/>
          <w:b/>
          <w:u w:val="single"/>
        </w:rPr>
        <w:t>.</w:t>
      </w:r>
      <w:r w:rsidR="00386DBE" w:rsidRPr="00386DBE">
        <w:rPr>
          <w:rFonts w:ascii="Times New Roman" w:hAnsi="Times New Roman" w:cs="Times New Roman"/>
          <w:b/>
          <w:u w:val="single"/>
        </w:rPr>
        <w:t>04</w:t>
      </w:r>
      <w:r w:rsidR="00386DBE" w:rsidRPr="000F5415">
        <w:rPr>
          <w:rFonts w:ascii="Times New Roman" w:hAnsi="Times New Roman" w:cs="Times New Roman"/>
          <w:b/>
          <w:u w:val="single"/>
        </w:rPr>
        <w:t>, não está sujeito ao regime de substituição tributária no Estado do Rio de Janeiro</w:t>
      </w:r>
      <w:r w:rsidR="00386DBE">
        <w:rPr>
          <w:rFonts w:ascii="Times New Roman" w:hAnsi="Times New Roman" w:cs="Times New Roman"/>
        </w:rPr>
        <w:t xml:space="preserve">, de acordo com a redação vigente do Anexo I do </w:t>
      </w:r>
      <w:r w:rsidR="00386DBE" w:rsidRPr="00112B11">
        <w:rPr>
          <w:rFonts w:ascii="Times New Roman" w:hAnsi="Times New Roman" w:cs="Times New Roman"/>
        </w:rPr>
        <w:t>Livro II do RICMS</w:t>
      </w:r>
      <w:r w:rsidR="00386DBE">
        <w:rPr>
          <w:rFonts w:ascii="Times New Roman" w:hAnsi="Times New Roman" w:cs="Times New Roman"/>
        </w:rPr>
        <w:t>-</w:t>
      </w:r>
      <w:r w:rsidR="00386DBE" w:rsidRPr="00112B11">
        <w:rPr>
          <w:rFonts w:ascii="Times New Roman" w:hAnsi="Times New Roman" w:cs="Times New Roman"/>
        </w:rPr>
        <w:t>RJ/00</w:t>
      </w:r>
      <w:r>
        <w:rPr>
          <w:rFonts w:ascii="Times New Roman" w:hAnsi="Times New Roman" w:cs="Times New Roman"/>
        </w:rPr>
        <w:t>.</w:t>
      </w:r>
    </w:p>
    <w:p w:rsidR="00225250" w:rsidRDefault="00225250" w:rsidP="0022525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686534">
        <w:rPr>
          <w:rFonts w:ascii="Times New Roman" w:hAnsi="Times New Roman" w:cs="Times New Roman"/>
        </w:rPr>
        <w:t>Fique a consulente ciente de que esta consulta perderá automaticamente a sua eficácia normativa em caso de mudança de entendimento por parte da Administração Tributária</w:t>
      </w:r>
      <w:proofErr w:type="gramStart"/>
      <w:r w:rsidRPr="00686534">
        <w:rPr>
          <w:rFonts w:ascii="Times New Roman" w:hAnsi="Times New Roman" w:cs="Times New Roman"/>
        </w:rPr>
        <w:t xml:space="preserve"> ou seja</w:t>
      </w:r>
      <w:proofErr w:type="gramEnd"/>
      <w:r w:rsidRPr="00686534">
        <w:rPr>
          <w:rFonts w:ascii="Times New Roman" w:hAnsi="Times New Roman" w:cs="Times New Roman"/>
        </w:rPr>
        <w:t xml:space="preserve"> editada norma superveniente dispondo de forma contrária.</w:t>
      </w:r>
    </w:p>
    <w:p w:rsidR="00E86E8C" w:rsidRDefault="00E86E8C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</w:p>
    <w:p w:rsidR="00544697" w:rsidRDefault="00462AC3" w:rsidP="00C14A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CCJT, em</w:t>
      </w:r>
      <w:r w:rsidR="004A46B7">
        <w:rPr>
          <w:rFonts w:ascii="Times New Roman" w:hAnsi="Times New Roman" w:cs="Times New Roman"/>
        </w:rPr>
        <w:t xml:space="preserve"> </w:t>
      </w:r>
      <w:r w:rsidR="00225250">
        <w:rPr>
          <w:rFonts w:ascii="Times New Roman" w:hAnsi="Times New Roman" w:cs="Times New Roman"/>
        </w:rPr>
        <w:t>24</w:t>
      </w:r>
      <w:r w:rsidR="00544697">
        <w:rPr>
          <w:rFonts w:ascii="Times New Roman" w:hAnsi="Times New Roman" w:cs="Times New Roman"/>
        </w:rPr>
        <w:t xml:space="preserve"> de </w:t>
      </w:r>
      <w:r w:rsidR="004A46B7">
        <w:rPr>
          <w:rFonts w:ascii="Times New Roman" w:hAnsi="Times New Roman" w:cs="Times New Roman"/>
        </w:rPr>
        <w:t>ma</w:t>
      </w:r>
      <w:r w:rsidR="00225250">
        <w:rPr>
          <w:rFonts w:ascii="Times New Roman" w:hAnsi="Times New Roman" w:cs="Times New Roman"/>
        </w:rPr>
        <w:t>i</w:t>
      </w:r>
      <w:r w:rsidR="003D5849">
        <w:rPr>
          <w:rFonts w:ascii="Times New Roman" w:hAnsi="Times New Roman" w:cs="Times New Roman"/>
        </w:rPr>
        <w:t>o</w:t>
      </w:r>
      <w:r w:rsidR="004A46B7">
        <w:rPr>
          <w:rFonts w:ascii="Times New Roman" w:hAnsi="Times New Roman" w:cs="Times New Roman"/>
        </w:rPr>
        <w:t xml:space="preserve"> de 2016</w:t>
      </w:r>
      <w:r w:rsidR="00544697">
        <w:rPr>
          <w:rFonts w:ascii="Times New Roman" w:hAnsi="Times New Roman" w:cs="Times New Roman"/>
        </w:rPr>
        <w:t>.</w:t>
      </w:r>
    </w:p>
    <w:sectPr w:rsidR="00544697" w:rsidSect="00E86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701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D8" w:rsidRDefault="001C5BD8" w:rsidP="00546EC0">
      <w:pPr>
        <w:spacing w:after="0" w:line="240" w:lineRule="auto"/>
      </w:pPr>
      <w:r>
        <w:separator/>
      </w:r>
    </w:p>
  </w:endnote>
  <w:endnote w:type="continuationSeparator" w:id="0">
    <w:p w:rsidR="001C5BD8" w:rsidRDefault="001C5BD8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8C" w:rsidRDefault="00E86E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8C" w:rsidRDefault="00E86E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8C" w:rsidRDefault="00E86E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D8" w:rsidRDefault="001C5BD8" w:rsidP="00546EC0">
      <w:pPr>
        <w:spacing w:after="0" w:line="240" w:lineRule="auto"/>
      </w:pPr>
      <w:r>
        <w:separator/>
      </w:r>
    </w:p>
  </w:footnote>
  <w:footnote w:type="continuationSeparator" w:id="0">
    <w:p w:rsidR="001C5BD8" w:rsidRDefault="001C5BD8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8C" w:rsidRDefault="00E86E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7"/>
      <w:gridCol w:w="2983"/>
    </w:tblGrid>
    <w:tr w:rsidR="00555312" w:rsidRPr="002E7B20" w:rsidTr="002D7022">
      <w:trPr>
        <w:cantSplit/>
        <w:trHeight w:val="1180"/>
      </w:trPr>
      <w:tc>
        <w:tcPr>
          <w:tcW w:w="6310" w:type="dxa"/>
        </w:tcPr>
        <w:p w:rsidR="00555312" w:rsidRPr="002E7B20" w:rsidRDefault="00555312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7B6F0AC1" wp14:editId="6DFC7B22">
                <wp:extent cx="914400" cy="895350"/>
                <wp:effectExtent l="0" t="0" r="0" b="0"/>
                <wp:docPr id="1" name="Imagem 1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555312" w:rsidRPr="002E7B20" w:rsidRDefault="0055531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555312" w:rsidRPr="002E7B20" w:rsidRDefault="0055531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2E7B20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  <w:hideMark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12"/>
          </w:tblGrid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2E7B20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314CC5" w:rsidP="002827AA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>Proc. E-04/</w:t>
                </w:r>
                <w:r>
                  <w:rPr>
                    <w:rFonts w:ascii="Times New Roman" w:hAnsi="Times New Roman"/>
                    <w:sz w:val="20"/>
                  </w:rPr>
                  <w:t>007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528</w:t>
                </w:r>
                <w:r w:rsidRPr="002E7B20">
                  <w:rPr>
                    <w:rFonts w:ascii="Times New Roman" w:hAnsi="Times New Roman"/>
                    <w:sz w:val="20"/>
                  </w:rPr>
                  <w:t>/</w:t>
                </w:r>
                <w:r>
                  <w:rPr>
                    <w:rFonts w:ascii="Times New Roman" w:hAnsi="Times New Roman"/>
                    <w:sz w:val="20"/>
                  </w:rPr>
                  <w:t>2016</w:t>
                </w:r>
              </w:p>
            </w:tc>
          </w:tr>
          <w:tr w:rsidR="00555312" w:rsidRPr="002E7B20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hideMark/>
              </w:tcPr>
              <w:p w:rsidR="00555312" w:rsidRPr="002E7B20" w:rsidRDefault="00555312" w:rsidP="00314CC5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 w:rsidRPr="002E7B20">
                  <w:rPr>
                    <w:rFonts w:ascii="Times New Roman" w:hAnsi="Times New Roman"/>
                    <w:sz w:val="20"/>
                  </w:rPr>
                  <w:t xml:space="preserve">Data: </w:t>
                </w:r>
                <w:r w:rsidR="00314CC5">
                  <w:rPr>
                    <w:rFonts w:ascii="Times New Roman" w:hAnsi="Times New Roman"/>
                    <w:sz w:val="20"/>
                  </w:rPr>
                  <w:t>18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314CC5">
                  <w:rPr>
                    <w:rFonts w:ascii="Times New Roman" w:hAnsi="Times New Roman"/>
                    <w:sz w:val="20"/>
                  </w:rPr>
                  <w:t>02</w:t>
                </w:r>
                <w:r>
                  <w:rPr>
                    <w:rFonts w:ascii="Times New Roman" w:hAnsi="Times New Roman"/>
                    <w:sz w:val="20"/>
                  </w:rPr>
                  <w:t>/</w:t>
                </w:r>
                <w:r w:rsidR="00E253A2">
                  <w:rPr>
                    <w:rFonts w:ascii="Times New Roman" w:hAnsi="Times New Roman"/>
                    <w:sz w:val="20"/>
                  </w:rPr>
                  <w:t>201</w:t>
                </w:r>
                <w:r w:rsidR="00314CC5">
                  <w:rPr>
                    <w:rFonts w:ascii="Times New Roman" w:hAnsi="Times New Roman"/>
                    <w:sz w:val="20"/>
                  </w:rPr>
                  <w:t>6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–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 Fls</w:t>
                </w:r>
                <w:r>
                  <w:rPr>
                    <w:rFonts w:ascii="Times New Roman" w:hAnsi="Times New Roman"/>
                    <w:sz w:val="20"/>
                  </w:rPr>
                  <w:t>.</w:t>
                </w:r>
                <w:r w:rsidRPr="002E7B20">
                  <w:rPr>
                    <w:rFonts w:ascii="Times New Roman" w:hAnsi="Times New Roman"/>
                    <w:sz w:val="20"/>
                  </w:rPr>
                  <w:t xml:space="preserve">: </w:t>
                </w:r>
                <w:r w:rsidR="00C07EE6" w:rsidRPr="00462AC3">
                  <w:rPr>
                    <w:rFonts w:ascii="Times New Roman" w:hAnsi="Times New Roman"/>
                    <w:sz w:val="20"/>
                  </w:rPr>
                  <w:fldChar w:fldCharType="begin"/>
                </w:r>
                <w:r w:rsidRPr="00462AC3">
                  <w:rPr>
                    <w:rFonts w:ascii="Times New Roman" w:hAnsi="Times New Roman"/>
                    <w:sz w:val="20"/>
                  </w:rPr>
                  <w:instrText>PAGE   \* MERGEFORMAT</w:instrText>
                </w:r>
                <w:r w:rsidR="00C07EE6" w:rsidRPr="00462AC3"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E86E8C">
                  <w:rPr>
                    <w:rFonts w:ascii="Times New Roman" w:hAnsi="Times New Roman"/>
                    <w:noProof/>
                    <w:sz w:val="20"/>
                  </w:rPr>
                  <w:t>38</w:t>
                </w:r>
                <w:r w:rsidR="00C07EE6" w:rsidRPr="00462AC3">
                  <w:rPr>
                    <w:rFonts w:ascii="Times New Roman" w:hAnsi="Times New Roman"/>
                    <w:sz w:val="20"/>
                  </w:rPr>
                  <w:fldChar w:fldCharType="end"/>
                </w:r>
              </w:p>
            </w:tc>
          </w:tr>
          <w:tr w:rsidR="00555312" w:rsidRPr="002E7B20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hideMark/>
              </w:tcPr>
              <w:p w:rsidR="00555312" w:rsidRPr="00462AC3" w:rsidRDefault="00555312" w:rsidP="0035322A">
                <w:pPr>
                  <w:pStyle w:val="Cabealho"/>
                  <w:spacing w:line="276" w:lineRule="auto"/>
                  <w:ind w:right="72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bookmarkStart w:id="0" w:name="_GoBack"/>
                <w:bookmarkEnd w:id="0"/>
              </w:p>
            </w:tc>
          </w:tr>
        </w:tbl>
        <w:p w:rsidR="00555312" w:rsidRPr="002E7B20" w:rsidRDefault="0055531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555312" w:rsidRPr="00462AC3" w:rsidRDefault="00555312" w:rsidP="00462A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8C" w:rsidRDefault="00E86E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8ED"/>
    <w:multiLevelType w:val="hybridMultilevel"/>
    <w:tmpl w:val="41C205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E94DAF"/>
    <w:multiLevelType w:val="hybridMultilevel"/>
    <w:tmpl w:val="CD18A54A"/>
    <w:lvl w:ilvl="0" w:tplc="BE401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DE36FE"/>
    <w:multiLevelType w:val="hybridMultilevel"/>
    <w:tmpl w:val="28E41C32"/>
    <w:lvl w:ilvl="0" w:tplc="E4A2D746">
      <w:start w:val="1"/>
      <w:numFmt w:val="lowerLetter"/>
      <w:lvlText w:val="%1)"/>
      <w:lvlJc w:val="left"/>
      <w:pPr>
        <w:ind w:left="1639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55B0"/>
    <w:rsid w:val="0002389A"/>
    <w:rsid w:val="0004321D"/>
    <w:rsid w:val="0008336D"/>
    <w:rsid w:val="00084116"/>
    <w:rsid w:val="000C115B"/>
    <w:rsid w:val="000D6F55"/>
    <w:rsid w:val="000F30B1"/>
    <w:rsid w:val="000F4FB2"/>
    <w:rsid w:val="000F63EE"/>
    <w:rsid w:val="0014427E"/>
    <w:rsid w:val="0014555C"/>
    <w:rsid w:val="001572FF"/>
    <w:rsid w:val="00157300"/>
    <w:rsid w:val="00166FDB"/>
    <w:rsid w:val="001760E5"/>
    <w:rsid w:val="001A0157"/>
    <w:rsid w:val="001C5BD8"/>
    <w:rsid w:val="001C7B3E"/>
    <w:rsid w:val="001E4F56"/>
    <w:rsid w:val="001F309B"/>
    <w:rsid w:val="001F3F43"/>
    <w:rsid w:val="001F7132"/>
    <w:rsid w:val="00210225"/>
    <w:rsid w:val="002124DC"/>
    <w:rsid w:val="00216AA2"/>
    <w:rsid w:val="00222C49"/>
    <w:rsid w:val="00225250"/>
    <w:rsid w:val="002436D8"/>
    <w:rsid w:val="00251988"/>
    <w:rsid w:val="00253080"/>
    <w:rsid w:val="00264B3C"/>
    <w:rsid w:val="00265632"/>
    <w:rsid w:val="002827AA"/>
    <w:rsid w:val="0028490E"/>
    <w:rsid w:val="00286428"/>
    <w:rsid w:val="00296DAB"/>
    <w:rsid w:val="002B25A7"/>
    <w:rsid w:val="002C092A"/>
    <w:rsid w:val="002C2F26"/>
    <w:rsid w:val="002F5AAC"/>
    <w:rsid w:val="00300997"/>
    <w:rsid w:val="00307D59"/>
    <w:rsid w:val="00314CC5"/>
    <w:rsid w:val="003453A9"/>
    <w:rsid w:val="0035322A"/>
    <w:rsid w:val="00355B36"/>
    <w:rsid w:val="00360C1E"/>
    <w:rsid w:val="0036656D"/>
    <w:rsid w:val="003670F1"/>
    <w:rsid w:val="00367604"/>
    <w:rsid w:val="00370985"/>
    <w:rsid w:val="003716F0"/>
    <w:rsid w:val="00376A58"/>
    <w:rsid w:val="0038321B"/>
    <w:rsid w:val="00386DBE"/>
    <w:rsid w:val="003C23BB"/>
    <w:rsid w:val="003C3FF2"/>
    <w:rsid w:val="003D5849"/>
    <w:rsid w:val="003D672A"/>
    <w:rsid w:val="003E2C18"/>
    <w:rsid w:val="003E5502"/>
    <w:rsid w:val="003E5ED9"/>
    <w:rsid w:val="00411549"/>
    <w:rsid w:val="00412522"/>
    <w:rsid w:val="004136EA"/>
    <w:rsid w:val="00423EF2"/>
    <w:rsid w:val="004241D0"/>
    <w:rsid w:val="00455FAC"/>
    <w:rsid w:val="00462AC3"/>
    <w:rsid w:val="00464744"/>
    <w:rsid w:val="00480304"/>
    <w:rsid w:val="00481E33"/>
    <w:rsid w:val="00481F61"/>
    <w:rsid w:val="00482C57"/>
    <w:rsid w:val="00483017"/>
    <w:rsid w:val="004A02C8"/>
    <w:rsid w:val="004A46B7"/>
    <w:rsid w:val="004C09C0"/>
    <w:rsid w:val="004C1EB5"/>
    <w:rsid w:val="004D3BD9"/>
    <w:rsid w:val="004E2759"/>
    <w:rsid w:val="005220FC"/>
    <w:rsid w:val="005333BB"/>
    <w:rsid w:val="00542EA5"/>
    <w:rsid w:val="00544697"/>
    <w:rsid w:val="00546EC0"/>
    <w:rsid w:val="00555312"/>
    <w:rsid w:val="005578E8"/>
    <w:rsid w:val="00557D40"/>
    <w:rsid w:val="005707CA"/>
    <w:rsid w:val="0058434E"/>
    <w:rsid w:val="00584587"/>
    <w:rsid w:val="005860DD"/>
    <w:rsid w:val="005A37D1"/>
    <w:rsid w:val="005A535E"/>
    <w:rsid w:val="005A6F87"/>
    <w:rsid w:val="005B395F"/>
    <w:rsid w:val="005C5FC9"/>
    <w:rsid w:val="005D2324"/>
    <w:rsid w:val="005E14DA"/>
    <w:rsid w:val="005E7A38"/>
    <w:rsid w:val="005F26B5"/>
    <w:rsid w:val="005F47B6"/>
    <w:rsid w:val="005F55C3"/>
    <w:rsid w:val="00602B62"/>
    <w:rsid w:val="0065393E"/>
    <w:rsid w:val="00654C1A"/>
    <w:rsid w:val="00663280"/>
    <w:rsid w:val="006637B6"/>
    <w:rsid w:val="00663AEB"/>
    <w:rsid w:val="0066751B"/>
    <w:rsid w:val="006A2586"/>
    <w:rsid w:val="006A270F"/>
    <w:rsid w:val="006A3E5C"/>
    <w:rsid w:val="006B0166"/>
    <w:rsid w:val="006B1F43"/>
    <w:rsid w:val="006E73A4"/>
    <w:rsid w:val="006F06F0"/>
    <w:rsid w:val="006F7509"/>
    <w:rsid w:val="00726138"/>
    <w:rsid w:val="0073148A"/>
    <w:rsid w:val="0074027D"/>
    <w:rsid w:val="0075364B"/>
    <w:rsid w:val="007637EC"/>
    <w:rsid w:val="00773AC1"/>
    <w:rsid w:val="00784FE7"/>
    <w:rsid w:val="007A3336"/>
    <w:rsid w:val="007A59E8"/>
    <w:rsid w:val="007E33A3"/>
    <w:rsid w:val="00805A34"/>
    <w:rsid w:val="00807F4B"/>
    <w:rsid w:val="00820383"/>
    <w:rsid w:val="00820B31"/>
    <w:rsid w:val="00821B5B"/>
    <w:rsid w:val="00825D6E"/>
    <w:rsid w:val="00827ABA"/>
    <w:rsid w:val="00844E38"/>
    <w:rsid w:val="008505C6"/>
    <w:rsid w:val="00870982"/>
    <w:rsid w:val="0089032B"/>
    <w:rsid w:val="008B1203"/>
    <w:rsid w:val="008B1870"/>
    <w:rsid w:val="008B2817"/>
    <w:rsid w:val="008C5BDE"/>
    <w:rsid w:val="008D0CD7"/>
    <w:rsid w:val="008D4306"/>
    <w:rsid w:val="008F0285"/>
    <w:rsid w:val="008F3D1E"/>
    <w:rsid w:val="008F716D"/>
    <w:rsid w:val="009114C8"/>
    <w:rsid w:val="0093290E"/>
    <w:rsid w:val="00934E4E"/>
    <w:rsid w:val="00951E1D"/>
    <w:rsid w:val="00987CE9"/>
    <w:rsid w:val="00994540"/>
    <w:rsid w:val="009A4E8D"/>
    <w:rsid w:val="009C2B3E"/>
    <w:rsid w:val="009C52C7"/>
    <w:rsid w:val="009D1501"/>
    <w:rsid w:val="009E2E6B"/>
    <w:rsid w:val="009F6AAA"/>
    <w:rsid w:val="009F7DF5"/>
    <w:rsid w:val="00A054C6"/>
    <w:rsid w:val="00A27902"/>
    <w:rsid w:val="00A30CE6"/>
    <w:rsid w:val="00A364D8"/>
    <w:rsid w:val="00A434AD"/>
    <w:rsid w:val="00A617F9"/>
    <w:rsid w:val="00A73790"/>
    <w:rsid w:val="00A73B7E"/>
    <w:rsid w:val="00A75A0C"/>
    <w:rsid w:val="00AD3421"/>
    <w:rsid w:val="00AD363A"/>
    <w:rsid w:val="00AD3B79"/>
    <w:rsid w:val="00B042C1"/>
    <w:rsid w:val="00B17EFE"/>
    <w:rsid w:val="00B27C17"/>
    <w:rsid w:val="00B4364F"/>
    <w:rsid w:val="00B44136"/>
    <w:rsid w:val="00B45593"/>
    <w:rsid w:val="00B5604B"/>
    <w:rsid w:val="00B6462F"/>
    <w:rsid w:val="00B9235C"/>
    <w:rsid w:val="00B9491F"/>
    <w:rsid w:val="00B95528"/>
    <w:rsid w:val="00B960E7"/>
    <w:rsid w:val="00B96A9A"/>
    <w:rsid w:val="00BA75E4"/>
    <w:rsid w:val="00BC215E"/>
    <w:rsid w:val="00BE0E93"/>
    <w:rsid w:val="00BE4302"/>
    <w:rsid w:val="00BE4E42"/>
    <w:rsid w:val="00BF0C36"/>
    <w:rsid w:val="00BF4B3C"/>
    <w:rsid w:val="00C0527F"/>
    <w:rsid w:val="00C07EE6"/>
    <w:rsid w:val="00C14A84"/>
    <w:rsid w:val="00C156F7"/>
    <w:rsid w:val="00C225D1"/>
    <w:rsid w:val="00C227A4"/>
    <w:rsid w:val="00C266EE"/>
    <w:rsid w:val="00C475BC"/>
    <w:rsid w:val="00C50939"/>
    <w:rsid w:val="00C660AA"/>
    <w:rsid w:val="00C84107"/>
    <w:rsid w:val="00C90806"/>
    <w:rsid w:val="00CA5CAF"/>
    <w:rsid w:val="00CB230E"/>
    <w:rsid w:val="00CB482A"/>
    <w:rsid w:val="00CD222C"/>
    <w:rsid w:val="00CD24BB"/>
    <w:rsid w:val="00CE0017"/>
    <w:rsid w:val="00CE2D21"/>
    <w:rsid w:val="00CE468D"/>
    <w:rsid w:val="00CF3460"/>
    <w:rsid w:val="00CF4A95"/>
    <w:rsid w:val="00D13A70"/>
    <w:rsid w:val="00D32712"/>
    <w:rsid w:val="00D53045"/>
    <w:rsid w:val="00D61C0F"/>
    <w:rsid w:val="00D61D25"/>
    <w:rsid w:val="00D61FED"/>
    <w:rsid w:val="00D6210A"/>
    <w:rsid w:val="00D66A0B"/>
    <w:rsid w:val="00D76FEA"/>
    <w:rsid w:val="00D857DD"/>
    <w:rsid w:val="00D910B7"/>
    <w:rsid w:val="00D92DE8"/>
    <w:rsid w:val="00D94623"/>
    <w:rsid w:val="00DD1ACA"/>
    <w:rsid w:val="00DF4268"/>
    <w:rsid w:val="00DF7D22"/>
    <w:rsid w:val="00E01F2A"/>
    <w:rsid w:val="00E11B24"/>
    <w:rsid w:val="00E16598"/>
    <w:rsid w:val="00E21488"/>
    <w:rsid w:val="00E253A2"/>
    <w:rsid w:val="00E4634E"/>
    <w:rsid w:val="00E56B5C"/>
    <w:rsid w:val="00E6697C"/>
    <w:rsid w:val="00E7570E"/>
    <w:rsid w:val="00E86E8C"/>
    <w:rsid w:val="00EB10C1"/>
    <w:rsid w:val="00EC6B66"/>
    <w:rsid w:val="00ED11CA"/>
    <w:rsid w:val="00ED5C7B"/>
    <w:rsid w:val="00EE3A31"/>
    <w:rsid w:val="00F00CAB"/>
    <w:rsid w:val="00F13D78"/>
    <w:rsid w:val="00F15CFA"/>
    <w:rsid w:val="00F4247D"/>
    <w:rsid w:val="00F42B37"/>
    <w:rsid w:val="00F43CA6"/>
    <w:rsid w:val="00F43F36"/>
    <w:rsid w:val="00F616AF"/>
    <w:rsid w:val="00F644C2"/>
    <w:rsid w:val="00F6473B"/>
    <w:rsid w:val="00F73AEB"/>
    <w:rsid w:val="00F81ECB"/>
    <w:rsid w:val="00F85829"/>
    <w:rsid w:val="00F968E2"/>
    <w:rsid w:val="00FA1604"/>
    <w:rsid w:val="00FB5812"/>
    <w:rsid w:val="00FD3260"/>
    <w:rsid w:val="00FE2C74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E2C1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150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4A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4A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B481-8D3F-4499-94DB-56973D0B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2015-07-22T21:00:00Z</cp:lastPrinted>
  <dcterms:created xsi:type="dcterms:W3CDTF">2016-06-09T17:54:00Z</dcterms:created>
  <dcterms:modified xsi:type="dcterms:W3CDTF">2016-06-09T21:00:00Z</dcterms:modified>
</cp:coreProperties>
</file>