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4B6E4E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4B6E4E" w:rsidRPr="006F06F0" w:rsidRDefault="004B6E4E" w:rsidP="000B4779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6E4E" w:rsidRPr="006F06F0" w:rsidRDefault="004B6E4E" w:rsidP="000B4779">
            <w:pPr>
              <w:spacing w:after="0"/>
              <w:ind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B6E4E" w:rsidRDefault="00282295" w:rsidP="00235A4D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bookmarkStart w:id="0" w:name="OLE_LINK1"/>
            <w:bookmarkStart w:id="1" w:name="OLE_LINK2"/>
            <w:r w:rsidRPr="00237C58">
              <w:rPr>
                <w:rFonts w:ascii="Times New Roman" w:hAnsi="Times New Roman"/>
                <w:szCs w:val="22"/>
              </w:rPr>
              <w:t xml:space="preserve">Incentivo Fiscal Relativo à Projeto Esportivo. ICMS Retido ou Pago Antecipadamente em Regime de Substituição Tributária: </w:t>
            </w:r>
            <w:r w:rsidR="00235A4D" w:rsidRPr="00237C58">
              <w:rPr>
                <w:rFonts w:ascii="Times New Roman" w:hAnsi="Times New Roman"/>
                <w:szCs w:val="22"/>
              </w:rPr>
              <w:t>Impossibilidade</w:t>
            </w:r>
            <w:bookmarkEnd w:id="0"/>
            <w:bookmarkEnd w:id="1"/>
            <w:r w:rsidR="00235A4D">
              <w:rPr>
                <w:rFonts w:ascii="Times New Roman" w:hAnsi="Times New Roman"/>
                <w:szCs w:val="22"/>
              </w:rPr>
              <w:t>.</w:t>
            </w:r>
          </w:p>
          <w:p w:rsidR="00AD366F" w:rsidRPr="00AD366F" w:rsidRDefault="00AD366F" w:rsidP="00AD366F">
            <w:pPr>
              <w:rPr>
                <w:rFonts w:ascii="Times New Roman" w:hAnsi="Times New Roman" w:cs="Times New Roman"/>
                <w:b/>
                <w:smallCaps/>
                <w:lang w:eastAsia="pt-BR"/>
              </w:rPr>
            </w:pPr>
            <w:r w:rsidRPr="00AD366F">
              <w:rPr>
                <w:rFonts w:ascii="Times New Roman" w:hAnsi="Times New Roman" w:cs="Times New Roman"/>
                <w:b/>
                <w:smallCaps/>
                <w:lang w:eastAsia="pt-BR"/>
              </w:rPr>
              <w:t>Consulta n.º</w:t>
            </w:r>
            <w:r w:rsidR="005B4A35">
              <w:rPr>
                <w:rFonts w:ascii="Times New Roman" w:hAnsi="Times New Roman" w:cs="Times New Roman"/>
                <w:b/>
                <w:smallCaps/>
                <w:lang w:eastAsia="pt-BR"/>
              </w:rPr>
              <w:t xml:space="preserve"> 029/16</w:t>
            </w:r>
            <w:r w:rsidRPr="00AD366F">
              <w:rPr>
                <w:rFonts w:ascii="Times New Roman" w:hAnsi="Times New Roman" w:cs="Times New Roman"/>
                <w:b/>
                <w:smallCaps/>
                <w:lang w:eastAsia="pt-BR"/>
              </w:rPr>
              <w:t xml:space="preserve"> </w:t>
            </w:r>
          </w:p>
        </w:tc>
      </w:tr>
    </w:tbl>
    <w:p w:rsidR="00F13A08" w:rsidRDefault="00F13A08" w:rsidP="00463020">
      <w:pPr>
        <w:spacing w:line="360" w:lineRule="auto"/>
        <w:jc w:val="both"/>
        <w:rPr>
          <w:rFonts w:ascii="Times New Roman" w:hAnsi="Times New Roman" w:cs="Times New Roman"/>
          <w:b/>
          <w:smallCaps/>
          <w:lang w:eastAsia="pt-BR"/>
        </w:rPr>
      </w:pPr>
    </w:p>
    <w:p w:rsidR="00EF07B0" w:rsidRDefault="00EF07B0" w:rsidP="00463020">
      <w:pPr>
        <w:spacing w:line="360" w:lineRule="auto"/>
        <w:jc w:val="both"/>
        <w:rPr>
          <w:rFonts w:ascii="Times New Roman" w:hAnsi="Times New Roman" w:cs="Times New Roman"/>
          <w:b/>
          <w:smallCaps/>
          <w:lang w:eastAsia="pt-BR"/>
        </w:rPr>
      </w:pPr>
      <w:r w:rsidRPr="00EF07B0">
        <w:rPr>
          <w:rFonts w:ascii="Times New Roman" w:hAnsi="Times New Roman" w:cs="Times New Roman"/>
          <w:b/>
          <w:smallCaps/>
          <w:lang w:eastAsia="pt-BR"/>
        </w:rPr>
        <w:tab/>
        <w:t>I – Relatório.</w:t>
      </w:r>
    </w:p>
    <w:p w:rsidR="00A40A6C" w:rsidRDefault="00993B49" w:rsidP="0046302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 w:rsidRPr="00993B49">
        <w:rPr>
          <w:rFonts w:ascii="Times New Roman" w:hAnsi="Times New Roman" w:cs="Times New Roman"/>
          <w:lang w:eastAsia="pt-BR"/>
        </w:rPr>
        <w:tab/>
        <w:t>A empresa</w:t>
      </w:r>
      <w:r>
        <w:rPr>
          <w:rFonts w:ascii="Times New Roman" w:hAnsi="Times New Roman" w:cs="Times New Roman"/>
          <w:lang w:eastAsia="pt-BR"/>
        </w:rPr>
        <w:t xml:space="preserve"> informa na inicial que </w:t>
      </w:r>
      <w:r w:rsidR="00735B21">
        <w:rPr>
          <w:rFonts w:ascii="Times New Roman" w:hAnsi="Times New Roman" w:cs="Times New Roman"/>
          <w:lang w:eastAsia="pt-BR"/>
        </w:rPr>
        <w:t xml:space="preserve">foi </w:t>
      </w:r>
      <w:r>
        <w:rPr>
          <w:rFonts w:ascii="Times New Roman" w:hAnsi="Times New Roman" w:cs="Times New Roman"/>
          <w:lang w:eastAsia="pt-BR"/>
        </w:rPr>
        <w:t xml:space="preserve">aprovado pela Comissão de Projetos Esportivos Incentivados </w:t>
      </w:r>
      <w:r w:rsidR="00735B21">
        <w:rPr>
          <w:rFonts w:ascii="Times New Roman" w:hAnsi="Times New Roman" w:cs="Times New Roman"/>
          <w:lang w:eastAsia="pt-BR"/>
        </w:rPr>
        <w:t xml:space="preserve">o </w:t>
      </w:r>
      <w:r>
        <w:rPr>
          <w:rFonts w:ascii="Times New Roman" w:hAnsi="Times New Roman" w:cs="Times New Roman"/>
          <w:lang w:eastAsia="pt-BR"/>
        </w:rPr>
        <w:t xml:space="preserve">projeto esportivo </w:t>
      </w:r>
      <w:r w:rsidR="00A40A6C">
        <w:rPr>
          <w:rFonts w:ascii="Times New Roman" w:hAnsi="Times New Roman" w:cs="Times New Roman"/>
          <w:lang w:eastAsia="pt-BR"/>
        </w:rPr>
        <w:t>objeto d</w:t>
      </w:r>
      <w:r>
        <w:rPr>
          <w:rFonts w:ascii="Times New Roman" w:hAnsi="Times New Roman" w:cs="Times New Roman"/>
          <w:lang w:eastAsia="pt-BR"/>
        </w:rPr>
        <w:t>o processo n.º E-30/001/070/2014</w:t>
      </w:r>
      <w:r w:rsidR="00A40A6C">
        <w:rPr>
          <w:rFonts w:ascii="Times New Roman" w:hAnsi="Times New Roman" w:cs="Times New Roman"/>
          <w:lang w:eastAsia="pt-BR"/>
        </w:rPr>
        <w:t>, conforme publicação no Diário Oficial (cópia às fls.09).</w:t>
      </w:r>
    </w:p>
    <w:p w:rsidR="00A40A6C" w:rsidRDefault="00A40A6C" w:rsidP="0046302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Considerando que o incentivo prevê a destinação de 4% (quatro por cento) do imposto a recolher, conforme Decreto n.º 40.988/07, até completar o valor do incentivo;</w:t>
      </w:r>
    </w:p>
    <w:p w:rsidR="00A40A6C" w:rsidRDefault="00993B49" w:rsidP="00463020">
      <w:pPr>
        <w:spacing w:line="360" w:lineRule="auto"/>
        <w:ind w:right="-994"/>
        <w:rPr>
          <w:rFonts w:ascii="Times New Roman" w:hAnsi="Times New Roman" w:cs="Times New Roman"/>
          <w:b/>
          <w:smallCaps/>
          <w:lang w:eastAsia="pt-BR"/>
        </w:rPr>
      </w:pPr>
      <w:r>
        <w:rPr>
          <w:rFonts w:ascii="Times New Roman" w:hAnsi="Times New Roman" w:cs="Times New Roman"/>
          <w:lang w:eastAsia="pt-BR"/>
        </w:rPr>
        <w:t xml:space="preserve"> </w:t>
      </w:r>
      <w:r w:rsidR="00A40A6C">
        <w:rPr>
          <w:rFonts w:ascii="Times New Roman" w:hAnsi="Times New Roman" w:cs="Times New Roman"/>
          <w:lang w:eastAsia="pt-BR"/>
        </w:rPr>
        <w:tab/>
      </w:r>
      <w:r w:rsidR="00A40A6C">
        <w:rPr>
          <w:rFonts w:ascii="Times New Roman" w:hAnsi="Times New Roman" w:cs="Times New Roman"/>
          <w:b/>
          <w:smallCaps/>
          <w:lang w:eastAsia="pt-BR"/>
        </w:rPr>
        <w:t>C</w:t>
      </w:r>
      <w:r w:rsidR="00425D5F">
        <w:rPr>
          <w:rFonts w:ascii="Times New Roman" w:hAnsi="Times New Roman" w:cs="Times New Roman"/>
          <w:b/>
          <w:smallCaps/>
          <w:lang w:eastAsia="pt-BR"/>
        </w:rPr>
        <w:t>onsulta</w:t>
      </w:r>
      <w:r w:rsidR="00A40A6C">
        <w:rPr>
          <w:rFonts w:ascii="Times New Roman" w:hAnsi="Times New Roman" w:cs="Times New Roman"/>
          <w:b/>
          <w:smallCaps/>
          <w:lang w:eastAsia="pt-BR"/>
        </w:rPr>
        <w:t>:</w:t>
      </w:r>
    </w:p>
    <w:p w:rsidR="00993B49" w:rsidRPr="00993B49" w:rsidRDefault="00A40A6C" w:rsidP="00463020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Como todo o recolhimento do imposto da consulente se dá através de substituição tributária (antecipação), como se dará o repasse desses recursos?</w:t>
      </w:r>
    </w:p>
    <w:p w:rsidR="00EF07B0" w:rsidRPr="00EF07B0" w:rsidRDefault="00EF07B0" w:rsidP="00425D5F">
      <w:pPr>
        <w:spacing w:after="100" w:afterAutospacing="1" w:line="360" w:lineRule="auto"/>
        <w:ind w:right="-994" w:firstLine="708"/>
        <w:jc w:val="both"/>
        <w:rPr>
          <w:rFonts w:ascii="Times New Roman" w:hAnsi="Times New Roman" w:cs="Times New Roman"/>
        </w:rPr>
      </w:pPr>
      <w:r w:rsidRPr="00EF07B0">
        <w:rPr>
          <w:rFonts w:ascii="Times New Roman" w:hAnsi="Times New Roman" w:cs="Times New Roman"/>
        </w:rPr>
        <w:t>O processo encontra-se instruído com o comprovante de pagamento da TSE (fls. 04), a habilitação do signatário da inicial para postula</w:t>
      </w:r>
      <w:r w:rsidR="00E77CDA">
        <w:rPr>
          <w:rFonts w:ascii="Times New Roman" w:hAnsi="Times New Roman" w:cs="Times New Roman"/>
        </w:rPr>
        <w:t>r em nome da consulente (fls. 05/08</w:t>
      </w:r>
      <w:r w:rsidRPr="00EF07B0">
        <w:rPr>
          <w:rFonts w:ascii="Times New Roman" w:hAnsi="Times New Roman" w:cs="Times New Roman"/>
        </w:rPr>
        <w:t>), bem como as informações relativas aos incisos I e II do artigo 3º da Resolução SEF n.° 109/76 (fls. 1</w:t>
      </w:r>
      <w:r w:rsidR="00E77CDA">
        <w:rPr>
          <w:rFonts w:ascii="Times New Roman" w:hAnsi="Times New Roman" w:cs="Times New Roman"/>
        </w:rPr>
        <w:t>4/15</w:t>
      </w:r>
      <w:r w:rsidRPr="00EF07B0">
        <w:rPr>
          <w:rFonts w:ascii="Times New Roman" w:hAnsi="Times New Roman" w:cs="Times New Roman"/>
        </w:rPr>
        <w:t>).</w:t>
      </w:r>
    </w:p>
    <w:p w:rsidR="00EF07B0" w:rsidRPr="00425D5F" w:rsidRDefault="00EF07B0" w:rsidP="00425D5F">
      <w:pPr>
        <w:spacing w:after="100" w:afterAutospacing="1" w:line="360" w:lineRule="auto"/>
        <w:rPr>
          <w:rFonts w:ascii="Times New Roman" w:hAnsi="Times New Roman" w:cs="Times New Roman"/>
          <w:b/>
          <w:smallCaps/>
        </w:rPr>
      </w:pPr>
      <w:r w:rsidRPr="00425D5F">
        <w:rPr>
          <w:rFonts w:ascii="Times New Roman" w:hAnsi="Times New Roman" w:cs="Times New Roman"/>
          <w:smallCaps/>
          <w:lang w:eastAsia="pt-BR"/>
        </w:rPr>
        <w:tab/>
      </w:r>
      <w:r w:rsidRPr="00425D5F">
        <w:rPr>
          <w:rFonts w:ascii="Times New Roman" w:hAnsi="Times New Roman" w:cs="Times New Roman"/>
          <w:b/>
          <w:smallCaps/>
          <w:lang w:eastAsia="pt-BR"/>
        </w:rPr>
        <w:t xml:space="preserve"> </w:t>
      </w:r>
      <w:r w:rsidRPr="00425D5F">
        <w:rPr>
          <w:rFonts w:ascii="Times New Roman" w:hAnsi="Times New Roman" w:cs="Times New Roman"/>
          <w:b/>
          <w:smallCaps/>
        </w:rPr>
        <w:t xml:space="preserve">II – </w:t>
      </w:r>
      <w:r w:rsidR="00425D5F" w:rsidRPr="00425D5F">
        <w:rPr>
          <w:rFonts w:ascii="Times New Roman" w:hAnsi="Times New Roman" w:cs="Times New Roman"/>
          <w:b/>
          <w:smallCaps/>
        </w:rPr>
        <w:t xml:space="preserve">Análise, Fundamentação  </w:t>
      </w:r>
      <w:r w:rsidR="00425D5F">
        <w:rPr>
          <w:rFonts w:ascii="Times New Roman" w:hAnsi="Times New Roman" w:cs="Times New Roman"/>
          <w:b/>
          <w:smallCaps/>
        </w:rPr>
        <w:t>e</w:t>
      </w:r>
      <w:r w:rsidR="00C65FC2" w:rsidRPr="00425D5F">
        <w:rPr>
          <w:rFonts w:ascii="Times New Roman" w:hAnsi="Times New Roman" w:cs="Times New Roman"/>
          <w:b/>
          <w:smallCaps/>
        </w:rPr>
        <w:t xml:space="preserve"> </w:t>
      </w:r>
      <w:r w:rsidRPr="00425D5F">
        <w:rPr>
          <w:rFonts w:ascii="Times New Roman" w:hAnsi="Times New Roman" w:cs="Times New Roman"/>
          <w:b/>
          <w:smallCaps/>
        </w:rPr>
        <w:t>Resposta:</w:t>
      </w:r>
    </w:p>
    <w:p w:rsidR="003C77FF" w:rsidRPr="003C77FF" w:rsidRDefault="00C65FC2" w:rsidP="009C0C1D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tab/>
      </w:r>
      <w:r w:rsidR="003C77FF" w:rsidRPr="003C77FF">
        <w:rPr>
          <w:rFonts w:ascii="Times New Roman" w:hAnsi="Times New Roman" w:cs="Times New Roman"/>
        </w:rPr>
        <w:t>O</w:t>
      </w:r>
      <w:r w:rsidR="003C77FF">
        <w:rPr>
          <w:rFonts w:ascii="Times New Roman" w:hAnsi="Times New Roman" w:cs="Times New Roman"/>
        </w:rPr>
        <w:t xml:space="preserve"> § 2º do artigo 1º do Decreto n.º 40.988/07 dispõe que:</w:t>
      </w:r>
    </w:p>
    <w:p w:rsidR="003C77FF" w:rsidRPr="003C77FF" w:rsidRDefault="003C77FF" w:rsidP="003C77FF">
      <w:pPr>
        <w:spacing w:line="360" w:lineRule="auto"/>
        <w:ind w:right="-994"/>
        <w:jc w:val="both"/>
        <w:rPr>
          <w:rFonts w:ascii="Times New Roman" w:hAnsi="Times New Roman" w:cs="Times New Roman"/>
          <w:i/>
        </w:rPr>
      </w:pPr>
      <w:r w:rsidRPr="003C77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“</w:t>
      </w:r>
      <w:r w:rsidRPr="003C77FF">
        <w:rPr>
          <w:rFonts w:ascii="Times New Roman" w:hAnsi="Times New Roman" w:cs="Times New Roman"/>
          <w:i/>
        </w:rPr>
        <w:t>Art. 1.º O incentivo fiscal de que trata o inciso IX do art. 2.º da Lei n.º 1.954/92 tem por objetivo o patrocínio ou doação de recursos em favor de projetos esportivos, visando à democratização do acesso da população ao esporte.</w:t>
      </w:r>
    </w:p>
    <w:p w:rsidR="003C77FF" w:rsidRPr="003C77FF" w:rsidRDefault="003C77FF" w:rsidP="003C77FF">
      <w:pPr>
        <w:spacing w:line="360" w:lineRule="auto"/>
        <w:ind w:right="-994" w:firstLine="708"/>
        <w:jc w:val="both"/>
        <w:rPr>
          <w:rFonts w:ascii="Times New Roman" w:hAnsi="Times New Roman" w:cs="Times New Roman"/>
          <w:i/>
        </w:rPr>
      </w:pPr>
      <w:proofErr w:type="gramStart"/>
      <w:r w:rsidRPr="003C77FF">
        <w:rPr>
          <w:rFonts w:ascii="Times New Roman" w:hAnsi="Times New Roman" w:cs="Times New Roman"/>
          <w:i/>
        </w:rPr>
        <w:t>..........................................................................</w:t>
      </w:r>
      <w:proofErr w:type="gramEnd"/>
      <w:r w:rsidRPr="003C77FF">
        <w:rPr>
          <w:rFonts w:ascii="Times New Roman" w:hAnsi="Times New Roman" w:cs="Times New Roman"/>
          <w:i/>
        </w:rPr>
        <w:t>;</w:t>
      </w:r>
    </w:p>
    <w:p w:rsidR="003C77FF" w:rsidRDefault="003C77FF" w:rsidP="003C77FF">
      <w:pPr>
        <w:spacing w:line="360" w:lineRule="auto"/>
        <w:ind w:right="-994" w:firstLine="708"/>
        <w:jc w:val="both"/>
        <w:rPr>
          <w:rFonts w:ascii="Times New Roman" w:hAnsi="Times New Roman" w:cs="Times New Roman"/>
        </w:rPr>
      </w:pPr>
      <w:r w:rsidRPr="003C77FF">
        <w:rPr>
          <w:rFonts w:ascii="Times New Roman" w:hAnsi="Times New Roman" w:cs="Times New Roman"/>
          <w:i/>
        </w:rPr>
        <w:t>§ 2.º O incentivo fiscal de que trata o caput deste artigo, observados os limites estabelecidos no art. 2.º, corresponde a 4% (quatro por cento) do ICMS, a recolher em cada período, para patrocínio ou doação de projetos esportivos</w:t>
      </w:r>
      <w:r w:rsidRPr="003C77FF">
        <w:rPr>
          <w:rFonts w:ascii="Times New Roman" w:hAnsi="Times New Roman" w:cs="Times New Roman"/>
        </w:rPr>
        <w:t>.</w:t>
      </w:r>
    </w:p>
    <w:p w:rsidR="003C77FF" w:rsidRPr="003C77FF" w:rsidRDefault="003C77FF" w:rsidP="003C77FF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3C77FF">
        <w:rPr>
          <w:rFonts w:ascii="Times New Roman" w:hAnsi="Times New Roman" w:cs="Times New Roman"/>
          <w:i/>
        </w:rPr>
        <w:lastRenderedPageBreak/>
        <w:t>§ 3.º Para poder utilizar o benefício que alude o caput deste artigo, a empresa patrocinadora ou doadora deverá contribuir, com recursos próprios, com parcela equivalente a, no mínimo, 20</w:t>
      </w:r>
      <w:proofErr w:type="gramStart"/>
      <w:r w:rsidRPr="003C77FF">
        <w:rPr>
          <w:rFonts w:ascii="Times New Roman" w:hAnsi="Times New Roman" w:cs="Times New Roman"/>
          <w:i/>
        </w:rPr>
        <w:t>% (vinte por cento) de benefício que pretende auferir</w:t>
      </w:r>
      <w:r>
        <w:rPr>
          <w:rFonts w:ascii="Times New Roman" w:hAnsi="Times New Roman" w:cs="Times New Roman"/>
          <w:i/>
        </w:rPr>
        <w:t>”</w:t>
      </w:r>
      <w:proofErr w:type="gramEnd"/>
      <w:r w:rsidRPr="003C77FF">
        <w:rPr>
          <w:rFonts w:ascii="Times New Roman" w:hAnsi="Times New Roman" w:cs="Times New Roman"/>
          <w:i/>
        </w:rPr>
        <w:t>.</w:t>
      </w:r>
    </w:p>
    <w:p w:rsidR="00B44AD1" w:rsidRDefault="003C77FF" w:rsidP="00B71A06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B71A06">
        <w:rPr>
          <w:rFonts w:ascii="Times New Roman" w:hAnsi="Times New Roman" w:cs="Times New Roman"/>
        </w:rPr>
        <w:t>O valor corresponde a 4% (quatro por cento) do ICMS a recolher em cada período</w:t>
      </w:r>
      <w:r w:rsidR="00B71A06">
        <w:rPr>
          <w:rFonts w:ascii="Times New Roman" w:hAnsi="Times New Roman" w:cs="Times New Roman"/>
        </w:rPr>
        <w:t xml:space="preserve"> (</w:t>
      </w:r>
      <w:r w:rsidRPr="00B71A06">
        <w:rPr>
          <w:rFonts w:ascii="Times New Roman" w:hAnsi="Times New Roman" w:cs="Times New Roman"/>
        </w:rPr>
        <w:t xml:space="preserve">dentro dos limites </w:t>
      </w:r>
      <w:proofErr w:type="gramStart"/>
      <w:r w:rsidRPr="00B71A06">
        <w:rPr>
          <w:rFonts w:ascii="Times New Roman" w:hAnsi="Times New Roman" w:cs="Times New Roman"/>
        </w:rPr>
        <w:t xml:space="preserve">estabelecidos pelo decreto e </w:t>
      </w:r>
      <w:r w:rsidR="00B71A06">
        <w:rPr>
          <w:rFonts w:ascii="Times New Roman" w:hAnsi="Times New Roman" w:cs="Times New Roman"/>
        </w:rPr>
        <w:t>observado</w:t>
      </w:r>
      <w:proofErr w:type="gramEnd"/>
      <w:r w:rsidR="00B71A06">
        <w:rPr>
          <w:rFonts w:ascii="Times New Roman" w:hAnsi="Times New Roman" w:cs="Times New Roman"/>
        </w:rPr>
        <w:t xml:space="preserve"> o </w:t>
      </w:r>
      <w:r w:rsidRPr="00B71A06">
        <w:rPr>
          <w:rFonts w:ascii="Times New Roman" w:hAnsi="Times New Roman" w:cs="Times New Roman"/>
        </w:rPr>
        <w:t>valor referente aos recursos próprios</w:t>
      </w:r>
      <w:r w:rsidR="00B71A06">
        <w:rPr>
          <w:rFonts w:ascii="Times New Roman" w:hAnsi="Times New Roman" w:cs="Times New Roman"/>
        </w:rPr>
        <w:t xml:space="preserve">) </w:t>
      </w:r>
      <w:r w:rsidR="00B71A06" w:rsidRPr="00B71A06">
        <w:rPr>
          <w:rFonts w:ascii="Times New Roman" w:hAnsi="Times New Roman" w:cs="Times New Roman"/>
        </w:rPr>
        <w:t>será lançado no campo "Outros Créditos" do livro Registro de Apuração do ICMS</w:t>
      </w:r>
      <w:r w:rsidR="00DB179A">
        <w:rPr>
          <w:rFonts w:ascii="Times New Roman" w:hAnsi="Times New Roman" w:cs="Times New Roman"/>
        </w:rPr>
        <w:t xml:space="preserve">, </w:t>
      </w:r>
      <w:r w:rsidR="00664873">
        <w:rPr>
          <w:rFonts w:ascii="Times New Roman" w:hAnsi="Times New Roman" w:cs="Times New Roman"/>
        </w:rPr>
        <w:t xml:space="preserve">conforme normatiza </w:t>
      </w:r>
      <w:r w:rsidR="00DB179A">
        <w:rPr>
          <w:rFonts w:ascii="Times New Roman" w:hAnsi="Times New Roman" w:cs="Times New Roman"/>
        </w:rPr>
        <w:t xml:space="preserve">o artigo 8º da </w:t>
      </w:r>
      <w:r w:rsidR="00DB179A" w:rsidRPr="00DB179A">
        <w:rPr>
          <w:rFonts w:ascii="Times New Roman" w:hAnsi="Times New Roman" w:cs="Times New Roman"/>
        </w:rPr>
        <w:t>Resolução SEF n.º 6.313</w:t>
      </w:r>
      <w:r w:rsidR="00DB179A">
        <w:rPr>
          <w:rFonts w:ascii="Times New Roman" w:hAnsi="Times New Roman" w:cs="Times New Roman"/>
        </w:rPr>
        <w:t>/01.</w:t>
      </w:r>
    </w:p>
    <w:p w:rsidR="00B44AD1" w:rsidRDefault="00B44AD1" w:rsidP="00B44AD1">
      <w:pPr>
        <w:spacing w:line="360" w:lineRule="auto"/>
        <w:ind w:right="-99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9C0C1D">
        <w:rPr>
          <w:rFonts w:ascii="Times New Roman" w:hAnsi="Times New Roman" w:cs="Times New Roman"/>
        </w:rPr>
        <w:t>onsultando o Comprovante de Inscrição e de Situação Cadastral</w:t>
      </w:r>
      <w:r>
        <w:rPr>
          <w:rFonts w:ascii="Times New Roman" w:hAnsi="Times New Roman" w:cs="Times New Roman"/>
        </w:rPr>
        <w:t xml:space="preserve"> da empresa consulente verifica-se que a mesma tem por atividade o </w:t>
      </w:r>
      <w:r w:rsidRPr="009C0C1D">
        <w:rPr>
          <w:rFonts w:ascii="Times New Roman" w:hAnsi="Times New Roman" w:cs="Times New Roman"/>
        </w:rPr>
        <w:t>comércio</w:t>
      </w:r>
      <w:r w:rsidRPr="00C65FC2">
        <w:rPr>
          <w:rFonts w:ascii="Times New Roman" w:hAnsi="Times New Roman" w:cs="Times New Roman"/>
        </w:rPr>
        <w:t xml:space="preserve"> atacadista de (i) outras máquinas e equipamentos não especificados anteriormente</w:t>
      </w:r>
      <w:r>
        <w:rPr>
          <w:rFonts w:ascii="Times New Roman" w:hAnsi="Times New Roman" w:cs="Times New Roman"/>
        </w:rPr>
        <w:t xml:space="preserve">, </w:t>
      </w:r>
      <w:r w:rsidRPr="00C65FC2">
        <w:rPr>
          <w:rFonts w:ascii="Times New Roman" w:hAnsi="Times New Roman" w:cs="Times New Roman"/>
        </w:rPr>
        <w:t>partes e peças</w:t>
      </w:r>
      <w:r>
        <w:rPr>
          <w:rFonts w:ascii="Times New Roman" w:hAnsi="Times New Roman" w:cs="Times New Roman"/>
        </w:rPr>
        <w:t xml:space="preserve">; </w:t>
      </w:r>
      <w:r w:rsidRPr="00C65FC2">
        <w:rPr>
          <w:rFonts w:ascii="Times New Roman" w:hAnsi="Times New Roman" w:cs="Times New Roman"/>
        </w:rPr>
        <w:t>e (</w:t>
      </w:r>
      <w:proofErr w:type="gramStart"/>
      <w:r w:rsidRPr="00C65FC2">
        <w:rPr>
          <w:rFonts w:ascii="Times New Roman" w:hAnsi="Times New Roman" w:cs="Times New Roman"/>
        </w:rPr>
        <w:t>ii</w:t>
      </w:r>
      <w:proofErr w:type="gramEnd"/>
      <w:r w:rsidRPr="00C65FC2">
        <w:rPr>
          <w:rFonts w:ascii="Times New Roman" w:hAnsi="Times New Roman" w:cs="Times New Roman"/>
        </w:rPr>
        <w:t>) mercadorias em geral, sem predominância de alimentos ou de insumos agropecuários</w:t>
      </w:r>
      <w:r>
        <w:rPr>
          <w:rFonts w:ascii="Times New Roman" w:hAnsi="Times New Roman" w:cs="Times New Roman"/>
        </w:rPr>
        <w:t>.</w:t>
      </w:r>
    </w:p>
    <w:p w:rsidR="00B71A06" w:rsidRPr="00B71A06" w:rsidRDefault="00664873" w:rsidP="00B71A06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Nesta situação, </w:t>
      </w:r>
      <w:r w:rsidR="00B32CCD">
        <w:rPr>
          <w:rFonts w:ascii="Times New Roman" w:hAnsi="Times New Roman" w:cs="Times New Roman"/>
        </w:rPr>
        <w:t xml:space="preserve">em se tratando de </w:t>
      </w:r>
      <w:r>
        <w:rPr>
          <w:rFonts w:ascii="Times New Roman" w:hAnsi="Times New Roman" w:cs="Times New Roman"/>
        </w:rPr>
        <w:t xml:space="preserve">estabelecimento </w:t>
      </w:r>
      <w:r w:rsidRPr="00664873">
        <w:rPr>
          <w:rFonts w:ascii="Times New Roman" w:hAnsi="Times New Roman" w:cs="Times New Roman"/>
          <w:b/>
        </w:rPr>
        <w:t>não</w:t>
      </w:r>
      <w:r>
        <w:rPr>
          <w:rFonts w:ascii="Times New Roman" w:hAnsi="Times New Roman" w:cs="Times New Roman"/>
        </w:rPr>
        <w:t xml:space="preserve"> industrial ou </w:t>
      </w:r>
      <w:r w:rsidRPr="00664873">
        <w:rPr>
          <w:rFonts w:ascii="Times New Roman" w:hAnsi="Times New Roman" w:cs="Times New Roman"/>
          <w:b/>
        </w:rPr>
        <w:t>não</w:t>
      </w:r>
      <w:r>
        <w:rPr>
          <w:rFonts w:ascii="Times New Roman" w:hAnsi="Times New Roman" w:cs="Times New Roman"/>
        </w:rPr>
        <w:t xml:space="preserve"> importador que </w:t>
      </w:r>
      <w:r w:rsidR="00B71A06">
        <w:rPr>
          <w:rFonts w:ascii="Times New Roman" w:hAnsi="Times New Roman" w:cs="Times New Roman"/>
        </w:rPr>
        <w:t>realiz</w:t>
      </w:r>
      <w:r w:rsidR="00400B3F">
        <w:rPr>
          <w:rFonts w:ascii="Times New Roman" w:hAnsi="Times New Roman" w:cs="Times New Roman"/>
        </w:rPr>
        <w:t xml:space="preserve">a </w:t>
      </w:r>
      <w:r w:rsidR="00B71A06">
        <w:rPr>
          <w:rFonts w:ascii="Times New Roman" w:hAnsi="Times New Roman" w:cs="Times New Roman"/>
        </w:rPr>
        <w:t xml:space="preserve">exclusivamente operações </w:t>
      </w:r>
      <w:r w:rsidR="00F407B0">
        <w:rPr>
          <w:rFonts w:ascii="Times New Roman" w:hAnsi="Times New Roman" w:cs="Times New Roman"/>
        </w:rPr>
        <w:t>com mercadorias sujeitas ao regime de substituição tributária</w:t>
      </w:r>
      <w:r w:rsidR="00B32CCD">
        <w:rPr>
          <w:rFonts w:ascii="Times New Roman" w:hAnsi="Times New Roman" w:cs="Times New Roman"/>
        </w:rPr>
        <w:t xml:space="preserve"> - </w:t>
      </w:r>
      <w:r w:rsidR="00400B3F"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</w:rPr>
        <w:t>, conforme as normas da Resolução SEFAZ n.º 537/12</w:t>
      </w:r>
      <w:r w:rsidR="00B32CCD">
        <w:rPr>
          <w:rFonts w:ascii="Times New Roman" w:hAnsi="Times New Roman" w:cs="Times New Roman"/>
        </w:rPr>
        <w:t xml:space="preserve">, </w:t>
      </w:r>
      <w:r w:rsidR="00F407B0">
        <w:rPr>
          <w:rFonts w:ascii="Times New Roman" w:hAnsi="Times New Roman" w:cs="Times New Roman"/>
        </w:rPr>
        <w:t>o ICMS</w:t>
      </w:r>
      <w:r>
        <w:rPr>
          <w:rFonts w:ascii="Times New Roman" w:hAnsi="Times New Roman" w:cs="Times New Roman"/>
        </w:rPr>
        <w:t xml:space="preserve"> devido por substituição tributária deve ser </w:t>
      </w:r>
      <w:r w:rsidR="00F407B0">
        <w:rPr>
          <w:rFonts w:ascii="Times New Roman" w:hAnsi="Times New Roman" w:cs="Times New Roman"/>
        </w:rPr>
        <w:t>retido pelo fornecedor ou pago a</w:t>
      </w:r>
      <w:r>
        <w:rPr>
          <w:rFonts w:ascii="Times New Roman" w:hAnsi="Times New Roman" w:cs="Times New Roman"/>
        </w:rPr>
        <w:t xml:space="preserve">ntecipadamente pelo adquirente </w:t>
      </w:r>
      <w:r w:rsidR="00F407B0">
        <w:rPr>
          <w:rFonts w:ascii="Times New Roman" w:hAnsi="Times New Roman" w:cs="Times New Roman"/>
        </w:rPr>
        <w:t xml:space="preserve">por </w:t>
      </w:r>
      <w:r w:rsidR="00B71A06">
        <w:rPr>
          <w:rFonts w:ascii="Times New Roman" w:hAnsi="Times New Roman" w:cs="Times New Roman"/>
        </w:rPr>
        <w:t>respons</w:t>
      </w:r>
      <w:r w:rsidR="00F407B0">
        <w:rPr>
          <w:rFonts w:ascii="Times New Roman" w:hAnsi="Times New Roman" w:cs="Times New Roman"/>
        </w:rPr>
        <w:t>abilidade</w:t>
      </w:r>
      <w:r w:rsidR="00B32CCD">
        <w:rPr>
          <w:rFonts w:ascii="Times New Roman" w:hAnsi="Times New Roman" w:cs="Times New Roman"/>
        </w:rPr>
        <w:t xml:space="preserve"> -,</w:t>
      </w:r>
      <w:r w:rsidR="00F407B0">
        <w:rPr>
          <w:rFonts w:ascii="Times New Roman" w:hAnsi="Times New Roman" w:cs="Times New Roman"/>
        </w:rPr>
        <w:t xml:space="preserve"> não há mecanismos na legislação que lhe permita utilizar o incentivo fiscal previsto no Decreto n.º 40.988/07.</w:t>
      </w:r>
    </w:p>
    <w:p w:rsidR="0077465F" w:rsidRPr="0077465F" w:rsidRDefault="0077465F" w:rsidP="00735B21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tab/>
      </w:r>
      <w:r w:rsidRPr="0077465F"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 w:rsidRPr="0077465F">
        <w:rPr>
          <w:rFonts w:ascii="Times New Roman" w:hAnsi="Times New Roman" w:cs="Times New Roman"/>
        </w:rPr>
        <w:t xml:space="preserve"> ou seja</w:t>
      </w:r>
      <w:proofErr w:type="gramEnd"/>
      <w:r w:rsidRPr="0077465F">
        <w:rPr>
          <w:rFonts w:ascii="Times New Roman" w:hAnsi="Times New Roman" w:cs="Times New Roman"/>
        </w:rPr>
        <w:t xml:space="preserve"> editada norma superveniente dispondo de forma contrária.</w:t>
      </w:r>
    </w:p>
    <w:p w:rsidR="001858F7" w:rsidRPr="00EF07B0" w:rsidRDefault="00462AC3" w:rsidP="001858F7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  <w:r w:rsidRPr="00EF07B0">
        <w:rPr>
          <w:rFonts w:ascii="Times New Roman" w:hAnsi="Times New Roman" w:cs="Times New Roman"/>
        </w:rPr>
        <w:t>CCJT, em</w:t>
      </w:r>
      <w:r w:rsidR="00282295">
        <w:rPr>
          <w:rFonts w:ascii="Times New Roman" w:hAnsi="Times New Roman" w:cs="Times New Roman"/>
        </w:rPr>
        <w:t xml:space="preserve"> 07 </w:t>
      </w:r>
      <w:r w:rsidR="001858F7" w:rsidRPr="00EF07B0">
        <w:rPr>
          <w:rFonts w:ascii="Times New Roman" w:hAnsi="Times New Roman" w:cs="Times New Roman"/>
        </w:rPr>
        <w:t>de</w:t>
      </w:r>
      <w:r w:rsidR="00282295">
        <w:rPr>
          <w:rFonts w:ascii="Times New Roman" w:hAnsi="Times New Roman" w:cs="Times New Roman"/>
        </w:rPr>
        <w:t xml:space="preserve"> janeiro </w:t>
      </w:r>
      <w:r w:rsidR="001858F7" w:rsidRPr="00EF07B0">
        <w:rPr>
          <w:rFonts w:ascii="Times New Roman" w:hAnsi="Times New Roman" w:cs="Times New Roman"/>
        </w:rPr>
        <w:t>de 2</w:t>
      </w:r>
      <w:r w:rsidR="003B6D06" w:rsidRPr="00EF07B0">
        <w:rPr>
          <w:rFonts w:ascii="Times New Roman" w:hAnsi="Times New Roman" w:cs="Times New Roman"/>
        </w:rPr>
        <w:t>.</w:t>
      </w:r>
      <w:r w:rsidR="001858F7" w:rsidRPr="00EF07B0">
        <w:rPr>
          <w:rFonts w:ascii="Times New Roman" w:hAnsi="Times New Roman" w:cs="Times New Roman"/>
        </w:rPr>
        <w:t>01</w:t>
      </w:r>
      <w:r w:rsidR="00C227FC">
        <w:rPr>
          <w:rFonts w:ascii="Times New Roman" w:hAnsi="Times New Roman" w:cs="Times New Roman"/>
        </w:rPr>
        <w:t>6</w:t>
      </w:r>
      <w:r w:rsidR="003B6D06" w:rsidRPr="00EF07B0">
        <w:rPr>
          <w:rFonts w:ascii="Times New Roman" w:hAnsi="Times New Roman" w:cs="Times New Roman"/>
        </w:rPr>
        <w:t>.</w:t>
      </w:r>
    </w:p>
    <w:sectPr w:rsidR="001858F7" w:rsidRPr="00EF07B0" w:rsidSect="00F13A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D8" w:rsidRDefault="002436D8" w:rsidP="00546EC0">
      <w:pPr>
        <w:spacing w:after="0" w:line="240" w:lineRule="auto"/>
      </w:pPr>
      <w:r>
        <w:separator/>
      </w:r>
    </w:p>
  </w:endnote>
  <w:end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51" w:rsidRDefault="00921F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51" w:rsidRDefault="00921F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51" w:rsidRDefault="00921F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D8" w:rsidRDefault="002436D8" w:rsidP="00546EC0">
      <w:pPr>
        <w:spacing w:after="0" w:line="240" w:lineRule="auto"/>
      </w:pPr>
      <w:r>
        <w:separator/>
      </w:r>
    </w:p>
  </w:footnote>
  <w:foot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51" w:rsidRDefault="00921F5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555312" w:rsidRPr="002E7B20" w:rsidTr="002D7022">
      <w:trPr>
        <w:cantSplit/>
        <w:trHeight w:val="1180"/>
      </w:trPr>
      <w:tc>
        <w:tcPr>
          <w:tcW w:w="6310" w:type="dxa"/>
        </w:tcPr>
        <w:p w:rsidR="00555312" w:rsidRPr="002E7B20" w:rsidRDefault="00555312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0C91C6B8" wp14:editId="4F812F60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555312" w:rsidRPr="002E7B20" w:rsidRDefault="00555312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B32CCD" w:rsidRDefault="00555312" w:rsidP="00D9136F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B32CCD">
                  <w:rPr>
                    <w:rFonts w:ascii="Times New Roman" w:hAnsi="Times New Roman"/>
                    <w:sz w:val="20"/>
                  </w:rPr>
                  <w:t>Proc. E-04/</w:t>
                </w:r>
                <w:r w:rsidR="008630FF" w:rsidRPr="00B32CCD">
                  <w:rPr>
                    <w:rFonts w:ascii="Times New Roman" w:hAnsi="Times New Roman"/>
                    <w:sz w:val="20"/>
                  </w:rPr>
                  <w:t>0</w:t>
                </w:r>
                <w:r w:rsidR="00D9136F" w:rsidRPr="00B32CCD">
                  <w:rPr>
                    <w:rFonts w:ascii="Times New Roman" w:hAnsi="Times New Roman"/>
                    <w:sz w:val="20"/>
                  </w:rPr>
                  <w:t>79</w:t>
                </w:r>
                <w:r w:rsidRPr="00B32CCD">
                  <w:rPr>
                    <w:rFonts w:ascii="Times New Roman" w:hAnsi="Times New Roman"/>
                    <w:sz w:val="20"/>
                  </w:rPr>
                  <w:t>/</w:t>
                </w:r>
                <w:r w:rsidR="00D9136F" w:rsidRPr="00B32CCD">
                  <w:rPr>
                    <w:rFonts w:ascii="Times New Roman" w:hAnsi="Times New Roman"/>
                    <w:sz w:val="20"/>
                  </w:rPr>
                  <w:t>1252</w:t>
                </w:r>
                <w:r w:rsidRPr="00B32CCD">
                  <w:rPr>
                    <w:rFonts w:ascii="Times New Roman" w:hAnsi="Times New Roman"/>
                    <w:sz w:val="20"/>
                  </w:rPr>
                  <w:t>/</w:t>
                </w:r>
                <w:r w:rsidR="00ED337D" w:rsidRPr="00B32CCD">
                  <w:rPr>
                    <w:rFonts w:ascii="Times New Roman" w:hAnsi="Times New Roman"/>
                    <w:sz w:val="20"/>
                  </w:rPr>
                  <w:t>/</w:t>
                </w:r>
                <w:r w:rsidR="001819B0" w:rsidRPr="00B32CCD">
                  <w:rPr>
                    <w:rFonts w:ascii="Times New Roman" w:hAnsi="Times New Roman"/>
                    <w:sz w:val="20"/>
                  </w:rPr>
                  <w:t>201</w:t>
                </w:r>
                <w:r w:rsidR="00D9136F" w:rsidRPr="00B32CCD">
                  <w:rPr>
                    <w:rFonts w:ascii="Times New Roman" w:hAnsi="Times New Roman"/>
                    <w:sz w:val="20"/>
                  </w:rPr>
                  <w:t>4</w:t>
                </w:r>
              </w:p>
            </w:tc>
          </w:tr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B32CCD" w:rsidRDefault="00555312" w:rsidP="00D9136F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B32CCD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D9136F" w:rsidRPr="00B32CCD">
                  <w:rPr>
                    <w:rFonts w:ascii="Times New Roman" w:hAnsi="Times New Roman"/>
                    <w:sz w:val="20"/>
                  </w:rPr>
                  <w:t>29</w:t>
                </w:r>
                <w:r w:rsidRPr="00B32CCD">
                  <w:rPr>
                    <w:rFonts w:ascii="Times New Roman" w:hAnsi="Times New Roman"/>
                    <w:sz w:val="20"/>
                  </w:rPr>
                  <w:t>/</w:t>
                </w:r>
                <w:r w:rsidR="008630FF" w:rsidRPr="00B32CCD">
                  <w:rPr>
                    <w:rFonts w:ascii="Times New Roman" w:hAnsi="Times New Roman"/>
                    <w:sz w:val="20"/>
                  </w:rPr>
                  <w:t>0</w:t>
                </w:r>
                <w:r w:rsidR="00D9136F" w:rsidRPr="00B32CCD">
                  <w:rPr>
                    <w:rFonts w:ascii="Times New Roman" w:hAnsi="Times New Roman"/>
                    <w:sz w:val="20"/>
                  </w:rPr>
                  <w:t>4</w:t>
                </w:r>
                <w:r w:rsidRPr="00B32CCD">
                  <w:rPr>
                    <w:rFonts w:ascii="Times New Roman" w:hAnsi="Times New Roman"/>
                    <w:sz w:val="20"/>
                  </w:rPr>
                  <w:t>/</w:t>
                </w:r>
                <w:r w:rsidR="00D9136F" w:rsidRPr="00B32CCD">
                  <w:rPr>
                    <w:rFonts w:ascii="Times New Roman" w:hAnsi="Times New Roman"/>
                    <w:sz w:val="20"/>
                  </w:rPr>
                  <w:t>14</w:t>
                </w:r>
                <w:r w:rsidRPr="00B32CCD">
                  <w:rPr>
                    <w:rFonts w:ascii="Times New Roman" w:hAnsi="Times New Roman"/>
                    <w:sz w:val="20"/>
                  </w:rPr>
                  <w:t xml:space="preserve"> – Fls.: </w:t>
                </w:r>
                <w:r w:rsidR="00852867" w:rsidRPr="00B32CCD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B32CCD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852867" w:rsidRPr="00B32CCD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921F51">
                  <w:rPr>
                    <w:rFonts w:ascii="Times New Roman" w:hAnsi="Times New Roman"/>
                    <w:noProof/>
                    <w:sz w:val="20"/>
                  </w:rPr>
                  <w:t>17</w:t>
                </w:r>
                <w:r w:rsidR="00852867" w:rsidRPr="00B32CCD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555312" w:rsidRPr="00462AC3" w:rsidRDefault="00555312" w:rsidP="0035322A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2" w:name="_GoBack"/>
                <w:bookmarkEnd w:id="2"/>
              </w:p>
            </w:tc>
          </w:tr>
        </w:tbl>
        <w:p w:rsidR="00555312" w:rsidRPr="002E7B20" w:rsidRDefault="00555312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555312" w:rsidRPr="00462AC3" w:rsidRDefault="00555312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51" w:rsidRDefault="00921F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3919"/>
    <w:rsid w:val="000055B0"/>
    <w:rsid w:val="00015A80"/>
    <w:rsid w:val="0002389A"/>
    <w:rsid w:val="00024105"/>
    <w:rsid w:val="0003303D"/>
    <w:rsid w:val="000377D8"/>
    <w:rsid w:val="000503D1"/>
    <w:rsid w:val="00074B43"/>
    <w:rsid w:val="0008336D"/>
    <w:rsid w:val="00084D3B"/>
    <w:rsid w:val="00086369"/>
    <w:rsid w:val="000C2877"/>
    <w:rsid w:val="000D0439"/>
    <w:rsid w:val="000D6F55"/>
    <w:rsid w:val="000E6D09"/>
    <w:rsid w:val="000F30B1"/>
    <w:rsid w:val="000F63EE"/>
    <w:rsid w:val="00100B3B"/>
    <w:rsid w:val="00111C59"/>
    <w:rsid w:val="001126BB"/>
    <w:rsid w:val="00120539"/>
    <w:rsid w:val="001214F5"/>
    <w:rsid w:val="00121FC1"/>
    <w:rsid w:val="001233D6"/>
    <w:rsid w:val="0013559F"/>
    <w:rsid w:val="001376CF"/>
    <w:rsid w:val="0014427E"/>
    <w:rsid w:val="0014555C"/>
    <w:rsid w:val="001502D2"/>
    <w:rsid w:val="00157300"/>
    <w:rsid w:val="00163A2D"/>
    <w:rsid w:val="00166FDB"/>
    <w:rsid w:val="001760E5"/>
    <w:rsid w:val="001819B0"/>
    <w:rsid w:val="001858F7"/>
    <w:rsid w:val="001C7B3E"/>
    <w:rsid w:val="001D4967"/>
    <w:rsid w:val="001E13FA"/>
    <w:rsid w:val="001E4F56"/>
    <w:rsid w:val="001F309B"/>
    <w:rsid w:val="001F3F43"/>
    <w:rsid w:val="001F7132"/>
    <w:rsid w:val="00205092"/>
    <w:rsid w:val="00207272"/>
    <w:rsid w:val="00210225"/>
    <w:rsid w:val="00211A66"/>
    <w:rsid w:val="002124DC"/>
    <w:rsid w:val="00235276"/>
    <w:rsid w:val="00235A4D"/>
    <w:rsid w:val="00237C58"/>
    <w:rsid w:val="002436D8"/>
    <w:rsid w:val="002457B4"/>
    <w:rsid w:val="00247144"/>
    <w:rsid w:val="00251988"/>
    <w:rsid w:val="00253080"/>
    <w:rsid w:val="00265632"/>
    <w:rsid w:val="002712D7"/>
    <w:rsid w:val="00272BF0"/>
    <w:rsid w:val="00282295"/>
    <w:rsid w:val="002830AD"/>
    <w:rsid w:val="0028490E"/>
    <w:rsid w:val="00286428"/>
    <w:rsid w:val="00296DAB"/>
    <w:rsid w:val="002A3BD8"/>
    <w:rsid w:val="002B25A7"/>
    <w:rsid w:val="002E38C5"/>
    <w:rsid w:val="002F5AAC"/>
    <w:rsid w:val="00300997"/>
    <w:rsid w:val="003269EC"/>
    <w:rsid w:val="00332FDF"/>
    <w:rsid w:val="003453A9"/>
    <w:rsid w:val="0035322A"/>
    <w:rsid w:val="003549CF"/>
    <w:rsid w:val="00355B36"/>
    <w:rsid w:val="00360C1E"/>
    <w:rsid w:val="00363495"/>
    <w:rsid w:val="00363D83"/>
    <w:rsid w:val="0036656D"/>
    <w:rsid w:val="00370985"/>
    <w:rsid w:val="003B454E"/>
    <w:rsid w:val="003B6D06"/>
    <w:rsid w:val="003C3FF2"/>
    <w:rsid w:val="003C77FF"/>
    <w:rsid w:val="003D55C0"/>
    <w:rsid w:val="003D672A"/>
    <w:rsid w:val="003D695C"/>
    <w:rsid w:val="003E2C18"/>
    <w:rsid w:val="003E5502"/>
    <w:rsid w:val="003E5ED9"/>
    <w:rsid w:val="00400B3F"/>
    <w:rsid w:val="00411549"/>
    <w:rsid w:val="004168C5"/>
    <w:rsid w:val="004174DA"/>
    <w:rsid w:val="00421C93"/>
    <w:rsid w:val="00423EF2"/>
    <w:rsid w:val="004241D0"/>
    <w:rsid w:val="00425D5F"/>
    <w:rsid w:val="00455FAC"/>
    <w:rsid w:val="00462AC3"/>
    <w:rsid w:val="00463020"/>
    <w:rsid w:val="004729F7"/>
    <w:rsid w:val="00473E16"/>
    <w:rsid w:val="00480304"/>
    <w:rsid w:val="00481E33"/>
    <w:rsid w:val="00481F61"/>
    <w:rsid w:val="004825A8"/>
    <w:rsid w:val="00482C57"/>
    <w:rsid w:val="00483017"/>
    <w:rsid w:val="00493457"/>
    <w:rsid w:val="00493AE4"/>
    <w:rsid w:val="004978EC"/>
    <w:rsid w:val="004A02C8"/>
    <w:rsid w:val="004B21F3"/>
    <w:rsid w:val="004B68C0"/>
    <w:rsid w:val="004B6E4E"/>
    <w:rsid w:val="004C1EB5"/>
    <w:rsid w:val="004D3BD9"/>
    <w:rsid w:val="004D5BAE"/>
    <w:rsid w:val="004E2759"/>
    <w:rsid w:val="005220FC"/>
    <w:rsid w:val="005333BB"/>
    <w:rsid w:val="00540E46"/>
    <w:rsid w:val="00542EA5"/>
    <w:rsid w:val="00546EC0"/>
    <w:rsid w:val="00555312"/>
    <w:rsid w:val="005578E8"/>
    <w:rsid w:val="005707CA"/>
    <w:rsid w:val="00584587"/>
    <w:rsid w:val="005853FD"/>
    <w:rsid w:val="005860DD"/>
    <w:rsid w:val="00586A11"/>
    <w:rsid w:val="005A37D1"/>
    <w:rsid w:val="005A6F87"/>
    <w:rsid w:val="005B395F"/>
    <w:rsid w:val="005B4A35"/>
    <w:rsid w:val="005C5FC9"/>
    <w:rsid w:val="005D2324"/>
    <w:rsid w:val="005D577F"/>
    <w:rsid w:val="005E14DA"/>
    <w:rsid w:val="005E7A38"/>
    <w:rsid w:val="005E7C65"/>
    <w:rsid w:val="005F26B5"/>
    <w:rsid w:val="005F289B"/>
    <w:rsid w:val="005F47B6"/>
    <w:rsid w:val="005F55C3"/>
    <w:rsid w:val="00602B62"/>
    <w:rsid w:val="00610064"/>
    <w:rsid w:val="006134FF"/>
    <w:rsid w:val="00622BB0"/>
    <w:rsid w:val="00633196"/>
    <w:rsid w:val="00636F62"/>
    <w:rsid w:val="0065393E"/>
    <w:rsid w:val="00654C1A"/>
    <w:rsid w:val="006637B6"/>
    <w:rsid w:val="00664873"/>
    <w:rsid w:val="0066751B"/>
    <w:rsid w:val="00675382"/>
    <w:rsid w:val="006A2586"/>
    <w:rsid w:val="006A270F"/>
    <w:rsid w:val="006E73A4"/>
    <w:rsid w:val="006F06F0"/>
    <w:rsid w:val="006F475A"/>
    <w:rsid w:val="006F743F"/>
    <w:rsid w:val="006F7509"/>
    <w:rsid w:val="0071097A"/>
    <w:rsid w:val="00735B21"/>
    <w:rsid w:val="0074027D"/>
    <w:rsid w:val="00747E59"/>
    <w:rsid w:val="0075364B"/>
    <w:rsid w:val="007637EC"/>
    <w:rsid w:val="00773AC1"/>
    <w:rsid w:val="0077465F"/>
    <w:rsid w:val="00784FE7"/>
    <w:rsid w:val="007A3336"/>
    <w:rsid w:val="007D2A1D"/>
    <w:rsid w:val="007E33A3"/>
    <w:rsid w:val="007F67BB"/>
    <w:rsid w:val="00801B35"/>
    <w:rsid w:val="00803F80"/>
    <w:rsid w:val="00805A34"/>
    <w:rsid w:val="00810178"/>
    <w:rsid w:val="00820383"/>
    <w:rsid w:val="00825D6E"/>
    <w:rsid w:val="00840313"/>
    <w:rsid w:val="00841C19"/>
    <w:rsid w:val="00844E38"/>
    <w:rsid w:val="0085047E"/>
    <w:rsid w:val="00852867"/>
    <w:rsid w:val="008630FF"/>
    <w:rsid w:val="0089032B"/>
    <w:rsid w:val="00891A63"/>
    <w:rsid w:val="0089409A"/>
    <w:rsid w:val="008962DF"/>
    <w:rsid w:val="008A4FFF"/>
    <w:rsid w:val="008A6974"/>
    <w:rsid w:val="008B1870"/>
    <w:rsid w:val="008B2817"/>
    <w:rsid w:val="008B55D2"/>
    <w:rsid w:val="008B5BBE"/>
    <w:rsid w:val="008C0608"/>
    <w:rsid w:val="008D4306"/>
    <w:rsid w:val="008F3D1E"/>
    <w:rsid w:val="008F716D"/>
    <w:rsid w:val="0090150B"/>
    <w:rsid w:val="00921F51"/>
    <w:rsid w:val="0093290E"/>
    <w:rsid w:val="00934E4E"/>
    <w:rsid w:val="00951E1D"/>
    <w:rsid w:val="0097135A"/>
    <w:rsid w:val="009826E8"/>
    <w:rsid w:val="00986F8A"/>
    <w:rsid w:val="00987CE9"/>
    <w:rsid w:val="00993B49"/>
    <w:rsid w:val="00994540"/>
    <w:rsid w:val="00995773"/>
    <w:rsid w:val="009A3A11"/>
    <w:rsid w:val="009A4E8D"/>
    <w:rsid w:val="009A65B7"/>
    <w:rsid w:val="009B4AD7"/>
    <w:rsid w:val="009C0C1D"/>
    <w:rsid w:val="009C2B3E"/>
    <w:rsid w:val="009C3177"/>
    <w:rsid w:val="009C4BB0"/>
    <w:rsid w:val="009C52C7"/>
    <w:rsid w:val="009C58A0"/>
    <w:rsid w:val="009D1501"/>
    <w:rsid w:val="009E0ABC"/>
    <w:rsid w:val="009E2E6B"/>
    <w:rsid w:val="009E5A48"/>
    <w:rsid w:val="009F6AAA"/>
    <w:rsid w:val="009F7DF5"/>
    <w:rsid w:val="00A054C6"/>
    <w:rsid w:val="00A11B88"/>
    <w:rsid w:val="00A16E0D"/>
    <w:rsid w:val="00A27902"/>
    <w:rsid w:val="00A30CE6"/>
    <w:rsid w:val="00A364D8"/>
    <w:rsid w:val="00A40A6C"/>
    <w:rsid w:val="00A73790"/>
    <w:rsid w:val="00A73B7E"/>
    <w:rsid w:val="00A75A0C"/>
    <w:rsid w:val="00A84A23"/>
    <w:rsid w:val="00AA1E19"/>
    <w:rsid w:val="00AA4AD0"/>
    <w:rsid w:val="00AC7301"/>
    <w:rsid w:val="00AD3421"/>
    <w:rsid w:val="00AD363A"/>
    <w:rsid w:val="00AD366F"/>
    <w:rsid w:val="00AD3B79"/>
    <w:rsid w:val="00AF0B00"/>
    <w:rsid w:val="00B023E9"/>
    <w:rsid w:val="00B03715"/>
    <w:rsid w:val="00B05D9A"/>
    <w:rsid w:val="00B17EFE"/>
    <w:rsid w:val="00B23B53"/>
    <w:rsid w:val="00B27C17"/>
    <w:rsid w:val="00B3136F"/>
    <w:rsid w:val="00B32CCD"/>
    <w:rsid w:val="00B352DD"/>
    <w:rsid w:val="00B41067"/>
    <w:rsid w:val="00B4298B"/>
    <w:rsid w:val="00B4364F"/>
    <w:rsid w:val="00B44136"/>
    <w:rsid w:val="00B44AD1"/>
    <w:rsid w:val="00B45593"/>
    <w:rsid w:val="00B5604B"/>
    <w:rsid w:val="00B6462F"/>
    <w:rsid w:val="00B71A06"/>
    <w:rsid w:val="00B82677"/>
    <w:rsid w:val="00B9235C"/>
    <w:rsid w:val="00B942B5"/>
    <w:rsid w:val="00B9491F"/>
    <w:rsid w:val="00B95528"/>
    <w:rsid w:val="00B960E7"/>
    <w:rsid w:val="00B96A9A"/>
    <w:rsid w:val="00BA75E4"/>
    <w:rsid w:val="00BC111B"/>
    <w:rsid w:val="00BE4E42"/>
    <w:rsid w:val="00BE5C37"/>
    <w:rsid w:val="00BE6852"/>
    <w:rsid w:val="00BF4B3C"/>
    <w:rsid w:val="00C03835"/>
    <w:rsid w:val="00C0527F"/>
    <w:rsid w:val="00C156F7"/>
    <w:rsid w:val="00C225D1"/>
    <w:rsid w:val="00C227A4"/>
    <w:rsid w:val="00C227FC"/>
    <w:rsid w:val="00C266EE"/>
    <w:rsid w:val="00C45EA9"/>
    <w:rsid w:val="00C463D2"/>
    <w:rsid w:val="00C50939"/>
    <w:rsid w:val="00C57FBD"/>
    <w:rsid w:val="00C65FC2"/>
    <w:rsid w:val="00C660AA"/>
    <w:rsid w:val="00C82292"/>
    <w:rsid w:val="00C839F6"/>
    <w:rsid w:val="00C90806"/>
    <w:rsid w:val="00CA4970"/>
    <w:rsid w:val="00CA5CAF"/>
    <w:rsid w:val="00CB1133"/>
    <w:rsid w:val="00CB230E"/>
    <w:rsid w:val="00CD093C"/>
    <w:rsid w:val="00CD222C"/>
    <w:rsid w:val="00CD3A4C"/>
    <w:rsid w:val="00CE0017"/>
    <w:rsid w:val="00CE1A3F"/>
    <w:rsid w:val="00CE2D21"/>
    <w:rsid w:val="00CE468D"/>
    <w:rsid w:val="00D13A70"/>
    <w:rsid w:val="00D32712"/>
    <w:rsid w:val="00D52E52"/>
    <w:rsid w:val="00D53045"/>
    <w:rsid w:val="00D61D25"/>
    <w:rsid w:val="00D61FED"/>
    <w:rsid w:val="00D6210A"/>
    <w:rsid w:val="00D66A0B"/>
    <w:rsid w:val="00D910B7"/>
    <w:rsid w:val="00D9136F"/>
    <w:rsid w:val="00D92DE8"/>
    <w:rsid w:val="00DB179A"/>
    <w:rsid w:val="00DB7463"/>
    <w:rsid w:val="00DD1ACA"/>
    <w:rsid w:val="00DE3458"/>
    <w:rsid w:val="00DF4268"/>
    <w:rsid w:val="00DF7D22"/>
    <w:rsid w:val="00E01F2A"/>
    <w:rsid w:val="00E142C3"/>
    <w:rsid w:val="00E21488"/>
    <w:rsid w:val="00E4634E"/>
    <w:rsid w:val="00E556F4"/>
    <w:rsid w:val="00E60609"/>
    <w:rsid w:val="00E77CDA"/>
    <w:rsid w:val="00EA4232"/>
    <w:rsid w:val="00EB0B17"/>
    <w:rsid w:val="00EB54FC"/>
    <w:rsid w:val="00EC6B66"/>
    <w:rsid w:val="00ED11CA"/>
    <w:rsid w:val="00ED31C6"/>
    <w:rsid w:val="00ED337D"/>
    <w:rsid w:val="00ED47ED"/>
    <w:rsid w:val="00ED5C7B"/>
    <w:rsid w:val="00EE33EB"/>
    <w:rsid w:val="00EE3A31"/>
    <w:rsid w:val="00EF07B0"/>
    <w:rsid w:val="00F03F7F"/>
    <w:rsid w:val="00F13A08"/>
    <w:rsid w:val="00F13D78"/>
    <w:rsid w:val="00F34FB4"/>
    <w:rsid w:val="00F407B0"/>
    <w:rsid w:val="00F42B37"/>
    <w:rsid w:val="00F43CA6"/>
    <w:rsid w:val="00F55A5B"/>
    <w:rsid w:val="00F616AF"/>
    <w:rsid w:val="00F642C0"/>
    <w:rsid w:val="00F644C2"/>
    <w:rsid w:val="00F6473B"/>
    <w:rsid w:val="00F737B6"/>
    <w:rsid w:val="00F73AEB"/>
    <w:rsid w:val="00F81ECB"/>
    <w:rsid w:val="00F85829"/>
    <w:rsid w:val="00F93E70"/>
    <w:rsid w:val="00F968E2"/>
    <w:rsid w:val="00FA1604"/>
    <w:rsid w:val="00FC7036"/>
    <w:rsid w:val="00FD3EA6"/>
    <w:rsid w:val="00FE2C74"/>
    <w:rsid w:val="00FE651F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EDE2-2A94-46D2-B330-E4758D62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 Air Com. e Eletr.</vt:lpstr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 Air Com. e Eletr.</dc:title>
  <dc:creator>Thereza Marina Cunha M. Cunha</dc:creator>
  <dc:description>Incentivo Fiscal Relativo à Projeto Esportivo. ICMS Retido ou Pago Antecipadamente em Regime de Substituição Tributária: Impossibilidade</dc:description>
  <cp:lastModifiedBy>Thereza Marina Cunha M. Cunha</cp:lastModifiedBy>
  <cp:revision>4</cp:revision>
  <cp:lastPrinted>2015-10-01T20:49:00Z</cp:lastPrinted>
  <dcterms:created xsi:type="dcterms:W3CDTF">2016-05-03T19:04:00Z</dcterms:created>
  <dcterms:modified xsi:type="dcterms:W3CDTF">2016-05-03T19:21:00Z</dcterms:modified>
  <cp:category>E04-0791252-14</cp:category>
</cp:coreProperties>
</file>