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655"/>
      </w:tblGrid>
      <w:tr w:rsidR="0003098F" w:rsidRPr="006F06F0" w:rsidTr="00E01F2A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3098F" w:rsidRPr="006F06F0" w:rsidRDefault="0003098F" w:rsidP="002A121D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098F" w:rsidRPr="006F06F0" w:rsidRDefault="0003098F" w:rsidP="002A121D">
            <w:pPr>
              <w:spacing w:after="0"/>
              <w:ind w:right="-366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03098F" w:rsidRDefault="000A5CEA" w:rsidP="000A5CEA">
            <w:pPr>
              <w:pStyle w:val="Ttulo2"/>
              <w:ind w:right="72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Distribuição, </w:t>
            </w:r>
            <w:proofErr w:type="gramStart"/>
            <w:r>
              <w:rPr>
                <w:rFonts w:ascii="Times New Roman" w:hAnsi="Times New Roman"/>
                <w:szCs w:val="22"/>
              </w:rPr>
              <w:t>à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Titulo Gratuito, de Equipamentos à Pessoas Específicas em Cumprimento a Obrigação Estabelecida Por Agência Reguladora. </w:t>
            </w:r>
            <w:r w:rsidR="007054DA">
              <w:rPr>
                <w:rFonts w:ascii="Times New Roman" w:hAnsi="Times New Roman"/>
                <w:szCs w:val="22"/>
              </w:rPr>
              <w:t>Atividade Fora do Campo de Incidência do ICMS.</w:t>
            </w:r>
          </w:p>
          <w:p w:rsidR="004031DC" w:rsidRPr="004031DC" w:rsidRDefault="004031DC" w:rsidP="004031DC">
            <w:pPr>
              <w:rPr>
                <w:rFonts w:ascii="Times New Roman" w:hAnsi="Times New Roman" w:cs="Times New Roman"/>
                <w:b/>
                <w:smallCaps/>
                <w:lang w:eastAsia="pt-BR"/>
              </w:rPr>
            </w:pPr>
            <w:r w:rsidRPr="004031DC">
              <w:rPr>
                <w:rFonts w:ascii="Times New Roman" w:hAnsi="Times New Roman" w:cs="Times New Roman"/>
                <w:b/>
                <w:smallCaps/>
                <w:lang w:eastAsia="pt-BR"/>
              </w:rPr>
              <w:t>Consulta n.º</w:t>
            </w:r>
            <w:r w:rsidR="00320D23">
              <w:rPr>
                <w:rFonts w:ascii="Times New Roman" w:hAnsi="Times New Roman" w:cs="Times New Roman"/>
                <w:b/>
                <w:smallCaps/>
                <w:lang w:eastAsia="pt-BR"/>
              </w:rPr>
              <w:t xml:space="preserve"> 027/17</w:t>
            </w:r>
            <w:r w:rsidRPr="004031DC">
              <w:rPr>
                <w:rFonts w:ascii="Times New Roman" w:hAnsi="Times New Roman" w:cs="Times New Roman"/>
                <w:b/>
                <w:smallCaps/>
                <w:lang w:eastAsia="pt-BR"/>
              </w:rPr>
              <w:t xml:space="preserve"> </w:t>
            </w:r>
          </w:p>
        </w:tc>
      </w:tr>
    </w:tbl>
    <w:p w:rsidR="0003098F" w:rsidRDefault="0003098F" w:rsidP="009826E8">
      <w:pPr>
        <w:pStyle w:val="Ttulo2"/>
        <w:ind w:right="72" w:firstLine="708"/>
        <w:rPr>
          <w:rFonts w:ascii="Times New Roman" w:hAnsi="Times New Roman"/>
        </w:rPr>
      </w:pPr>
    </w:p>
    <w:p w:rsidR="00EF07B0" w:rsidRPr="00EF07B0" w:rsidRDefault="00EF07B0" w:rsidP="00BE7E33">
      <w:pPr>
        <w:ind w:right="141"/>
        <w:jc w:val="both"/>
        <w:rPr>
          <w:rFonts w:ascii="Times New Roman" w:hAnsi="Times New Roman" w:cs="Times New Roman"/>
          <w:lang w:eastAsia="pt-BR"/>
        </w:rPr>
      </w:pPr>
    </w:p>
    <w:p w:rsidR="00EF07B0" w:rsidRDefault="00EF07B0" w:rsidP="00BE7E33">
      <w:pPr>
        <w:ind w:right="141"/>
        <w:jc w:val="both"/>
        <w:rPr>
          <w:rFonts w:ascii="Times New Roman" w:hAnsi="Times New Roman" w:cs="Times New Roman"/>
          <w:b/>
          <w:smallCaps/>
          <w:lang w:eastAsia="pt-BR"/>
        </w:rPr>
      </w:pPr>
      <w:r w:rsidRPr="00EF07B0">
        <w:rPr>
          <w:rFonts w:ascii="Times New Roman" w:hAnsi="Times New Roman" w:cs="Times New Roman"/>
          <w:b/>
          <w:smallCaps/>
          <w:lang w:eastAsia="pt-BR"/>
        </w:rPr>
        <w:tab/>
        <w:t>I – Relatório.</w:t>
      </w:r>
    </w:p>
    <w:p w:rsidR="00AA1D69" w:rsidRDefault="00BB3028" w:rsidP="00BE7E33">
      <w:pPr>
        <w:spacing w:line="360" w:lineRule="auto"/>
        <w:ind w:right="141"/>
        <w:jc w:val="both"/>
        <w:rPr>
          <w:rFonts w:ascii="Times New Roman" w:hAnsi="Times New Roman" w:cs="Times New Roman"/>
          <w:lang w:eastAsia="pt-BR"/>
        </w:rPr>
      </w:pPr>
      <w:r w:rsidRPr="00BB3028">
        <w:rPr>
          <w:rFonts w:ascii="Times New Roman" w:hAnsi="Times New Roman" w:cs="Times New Roman"/>
          <w:lang w:eastAsia="pt-BR"/>
        </w:rPr>
        <w:tab/>
        <w:t xml:space="preserve">A entidade </w:t>
      </w:r>
      <w:r w:rsidR="009C7B57">
        <w:rPr>
          <w:rFonts w:ascii="Times New Roman" w:hAnsi="Times New Roman" w:cs="Times New Roman"/>
          <w:lang w:eastAsia="pt-BR"/>
        </w:rPr>
        <w:t xml:space="preserve">relata </w:t>
      </w:r>
      <w:r>
        <w:rPr>
          <w:rFonts w:ascii="Times New Roman" w:hAnsi="Times New Roman" w:cs="Times New Roman"/>
          <w:lang w:eastAsia="pt-BR"/>
        </w:rPr>
        <w:t>na inicial ser pessoa jurídica formada pelas empresas Algar Celular, Claro S.A., Telef</w:t>
      </w:r>
      <w:r w:rsidR="00A57B5B">
        <w:rPr>
          <w:rFonts w:ascii="Times New Roman" w:hAnsi="Times New Roman" w:cs="Times New Roman"/>
          <w:lang w:eastAsia="pt-BR"/>
        </w:rPr>
        <w:t xml:space="preserve">ônica Celular S.A. e </w:t>
      </w:r>
      <w:r>
        <w:rPr>
          <w:rFonts w:ascii="Times New Roman" w:hAnsi="Times New Roman" w:cs="Times New Roman"/>
          <w:lang w:eastAsia="pt-BR"/>
        </w:rPr>
        <w:t xml:space="preserve">Tim Celular S.A., </w:t>
      </w:r>
      <w:r w:rsidR="00D347A5">
        <w:rPr>
          <w:rFonts w:ascii="Times New Roman" w:hAnsi="Times New Roman" w:cs="Times New Roman"/>
          <w:lang w:eastAsia="pt-BR"/>
        </w:rPr>
        <w:t>conjuntamente denominadas “companhias vencedoras”</w:t>
      </w:r>
      <w:r w:rsidR="009C7B57">
        <w:rPr>
          <w:rFonts w:ascii="Times New Roman" w:hAnsi="Times New Roman" w:cs="Times New Roman"/>
          <w:lang w:eastAsia="pt-BR"/>
        </w:rPr>
        <w:t xml:space="preserve"> do Leilão 4G</w:t>
      </w:r>
      <w:r w:rsidR="00D347A5">
        <w:rPr>
          <w:rFonts w:ascii="Times New Roman" w:hAnsi="Times New Roman" w:cs="Times New Roman"/>
          <w:lang w:eastAsia="pt-BR"/>
        </w:rPr>
        <w:t xml:space="preserve">, </w:t>
      </w:r>
      <w:r>
        <w:rPr>
          <w:rFonts w:ascii="Times New Roman" w:hAnsi="Times New Roman" w:cs="Times New Roman"/>
          <w:lang w:eastAsia="pt-BR"/>
        </w:rPr>
        <w:t xml:space="preserve">com sede em São Paulo, inscrita no CNPJ com o CNAE </w:t>
      </w:r>
      <w:r w:rsidR="00A57B5B">
        <w:rPr>
          <w:rFonts w:ascii="Times New Roman" w:hAnsi="Times New Roman" w:cs="Times New Roman"/>
          <w:lang w:eastAsia="pt-BR"/>
        </w:rPr>
        <w:t>“</w:t>
      </w:r>
      <w:r w:rsidR="00AA1D69" w:rsidRPr="00BB3028">
        <w:rPr>
          <w:rFonts w:ascii="Times New Roman" w:hAnsi="Times New Roman" w:cs="Times New Roman"/>
          <w:lang w:eastAsia="pt-BR"/>
        </w:rPr>
        <w:t>94.99-5-00 - Atividades associativas não especificadas anteriormente</w:t>
      </w:r>
      <w:r w:rsidR="00A57B5B">
        <w:rPr>
          <w:rFonts w:ascii="Times New Roman" w:hAnsi="Times New Roman" w:cs="Times New Roman"/>
          <w:lang w:eastAsia="pt-BR"/>
        </w:rPr>
        <w:t>”, e relata mais o que segue.</w:t>
      </w:r>
    </w:p>
    <w:p w:rsidR="00BE7E33" w:rsidRDefault="00A57B5B" w:rsidP="00BE7E33">
      <w:pPr>
        <w:spacing w:line="360" w:lineRule="auto"/>
        <w:ind w:right="141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>Em 30 de setembro de 2.014, a ANATEL realizou o leilão relativo à outorga de autorização de uso da tecnologia de telefonia celular móvel 4G nas subfaixas de 700 MHz (“Leilão 4G”).</w:t>
      </w:r>
      <w:r w:rsidR="00BE7E33">
        <w:rPr>
          <w:rFonts w:ascii="Times New Roman" w:hAnsi="Times New Roman" w:cs="Times New Roman"/>
          <w:lang w:eastAsia="pt-BR"/>
        </w:rPr>
        <w:t xml:space="preserve"> </w:t>
      </w:r>
    </w:p>
    <w:p w:rsidR="00C5789C" w:rsidRDefault="00A57B5B" w:rsidP="00BE7E33">
      <w:pPr>
        <w:spacing w:line="360" w:lineRule="auto"/>
        <w:ind w:right="141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r w:rsidR="000275BD">
        <w:rPr>
          <w:rFonts w:ascii="Times New Roman" w:hAnsi="Times New Roman" w:cs="Times New Roman"/>
          <w:lang w:eastAsia="pt-BR"/>
        </w:rPr>
        <w:t>Considerando que essa faixa atualmente está ocupada por serviços de radiodifusão</w:t>
      </w:r>
      <w:r w:rsidR="002A15B6">
        <w:rPr>
          <w:rFonts w:ascii="Times New Roman" w:hAnsi="Times New Roman" w:cs="Times New Roman"/>
          <w:lang w:eastAsia="pt-BR"/>
        </w:rPr>
        <w:t xml:space="preserve">, o Edital </w:t>
      </w:r>
      <w:r w:rsidR="00A14847">
        <w:rPr>
          <w:rFonts w:ascii="Times New Roman" w:hAnsi="Times New Roman" w:cs="Times New Roman"/>
          <w:lang w:eastAsia="pt-BR"/>
        </w:rPr>
        <w:t xml:space="preserve">(fls. 114/139) correspondente </w:t>
      </w:r>
      <w:r w:rsidR="002A15B6">
        <w:rPr>
          <w:rFonts w:ascii="Times New Roman" w:hAnsi="Times New Roman" w:cs="Times New Roman"/>
          <w:lang w:eastAsia="pt-BR"/>
        </w:rPr>
        <w:t>previu que</w:t>
      </w:r>
      <w:r w:rsidR="003F554A">
        <w:rPr>
          <w:rFonts w:ascii="Times New Roman" w:hAnsi="Times New Roman" w:cs="Times New Roman"/>
          <w:lang w:eastAsia="pt-BR"/>
        </w:rPr>
        <w:t xml:space="preserve"> os vencedores da licitação</w:t>
      </w:r>
      <w:r w:rsidR="00B475FA">
        <w:rPr>
          <w:rFonts w:ascii="Times New Roman" w:hAnsi="Times New Roman" w:cs="Times New Roman"/>
          <w:lang w:eastAsia="pt-BR"/>
        </w:rPr>
        <w:t xml:space="preserve"> deveriam ressarcir integralmente os custos com a redistribuição de canais de TV e RTV (atividade também conhecida como “limpeza de faixa”), em razão dos problemas de interferência</w:t>
      </w:r>
      <w:r w:rsidR="00786DCA">
        <w:rPr>
          <w:rFonts w:ascii="Times New Roman" w:hAnsi="Times New Roman" w:cs="Times New Roman"/>
          <w:lang w:eastAsia="pt-BR"/>
        </w:rPr>
        <w:t xml:space="preserve">, </w:t>
      </w:r>
      <w:r w:rsidR="00B475FA">
        <w:rPr>
          <w:rFonts w:ascii="Times New Roman" w:hAnsi="Times New Roman" w:cs="Times New Roman"/>
          <w:lang w:eastAsia="pt-BR"/>
        </w:rPr>
        <w:t>prejudicia</w:t>
      </w:r>
      <w:r w:rsidR="00786DCA">
        <w:rPr>
          <w:rFonts w:ascii="Times New Roman" w:hAnsi="Times New Roman" w:cs="Times New Roman"/>
          <w:lang w:eastAsia="pt-BR"/>
        </w:rPr>
        <w:t>is</w:t>
      </w:r>
      <w:r w:rsidR="00B475FA">
        <w:rPr>
          <w:rFonts w:ascii="Times New Roman" w:hAnsi="Times New Roman" w:cs="Times New Roman"/>
          <w:lang w:eastAsia="pt-BR"/>
        </w:rPr>
        <w:t xml:space="preserve"> nesses sistemas</w:t>
      </w:r>
      <w:r w:rsidR="00FD6AD8">
        <w:rPr>
          <w:rFonts w:ascii="Times New Roman" w:hAnsi="Times New Roman" w:cs="Times New Roman"/>
          <w:lang w:eastAsia="pt-BR"/>
        </w:rPr>
        <w:t xml:space="preserve">, </w:t>
      </w:r>
      <w:r w:rsidR="00B475FA">
        <w:rPr>
          <w:rFonts w:ascii="Times New Roman" w:hAnsi="Times New Roman" w:cs="Times New Roman"/>
          <w:lang w:eastAsia="pt-BR"/>
        </w:rPr>
        <w:t>provocados pela tecnologia 4G.</w:t>
      </w:r>
      <w:r w:rsidR="00BE7E33">
        <w:rPr>
          <w:rFonts w:ascii="Times New Roman" w:hAnsi="Times New Roman" w:cs="Times New Roman"/>
          <w:lang w:eastAsia="pt-BR"/>
        </w:rPr>
        <w:t xml:space="preserve">  </w:t>
      </w:r>
      <w:r w:rsidR="00C5789C">
        <w:rPr>
          <w:rFonts w:ascii="Times New Roman" w:hAnsi="Times New Roman" w:cs="Times New Roman"/>
          <w:lang w:eastAsia="pt-BR"/>
        </w:rPr>
        <w:t xml:space="preserve">Para </w:t>
      </w:r>
      <w:r w:rsidR="00BE7E33">
        <w:rPr>
          <w:rFonts w:ascii="Times New Roman" w:hAnsi="Times New Roman" w:cs="Times New Roman"/>
          <w:lang w:eastAsia="pt-BR"/>
        </w:rPr>
        <w:t>am</w:t>
      </w:r>
      <w:r w:rsidR="00C5789C">
        <w:rPr>
          <w:rFonts w:ascii="Times New Roman" w:hAnsi="Times New Roman" w:cs="Times New Roman"/>
          <w:lang w:eastAsia="pt-BR"/>
        </w:rPr>
        <w:t xml:space="preserve">pliar </w:t>
      </w:r>
      <w:r w:rsidR="005407B2">
        <w:rPr>
          <w:rFonts w:ascii="Times New Roman" w:hAnsi="Times New Roman" w:cs="Times New Roman"/>
          <w:lang w:eastAsia="pt-BR"/>
        </w:rPr>
        <w:t>a obrigação</w:t>
      </w:r>
      <w:r w:rsidR="00D347A5">
        <w:rPr>
          <w:rFonts w:ascii="Times New Roman" w:hAnsi="Times New Roman" w:cs="Times New Roman"/>
          <w:lang w:eastAsia="pt-BR"/>
        </w:rPr>
        <w:t xml:space="preserve"> da “limpeza de faixa”, cujo ônus financeiro é atribuído às “companhias vencedoras”, </w:t>
      </w:r>
      <w:r w:rsidR="00BE7E33">
        <w:rPr>
          <w:rFonts w:ascii="Times New Roman" w:hAnsi="Times New Roman" w:cs="Times New Roman"/>
          <w:lang w:eastAsia="pt-BR"/>
        </w:rPr>
        <w:t>o Edital estabeleceu a necessidade de constituição de uma pessoa jurídica até 19 de março de 2.015.</w:t>
      </w:r>
    </w:p>
    <w:p w:rsidR="00202CC7" w:rsidRDefault="00BE7E33" w:rsidP="00BE7E33">
      <w:pPr>
        <w:spacing w:line="360" w:lineRule="auto"/>
        <w:ind w:right="141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r w:rsidR="007B09EA">
        <w:rPr>
          <w:rFonts w:ascii="Times New Roman" w:hAnsi="Times New Roman" w:cs="Times New Roman"/>
          <w:lang w:eastAsia="pt-BR"/>
        </w:rPr>
        <w:t xml:space="preserve">Assim, em 03 de março de 2.015 foi constituída a </w:t>
      </w:r>
      <w:r w:rsidR="00143D6A">
        <w:rPr>
          <w:rFonts w:ascii="Times New Roman" w:hAnsi="Times New Roman" w:cs="Times New Roman"/>
          <w:lang w:eastAsia="pt-BR"/>
        </w:rPr>
        <w:t>EAD, nos termos d</w:t>
      </w:r>
      <w:r w:rsidR="005553F6">
        <w:rPr>
          <w:rFonts w:ascii="Times New Roman" w:hAnsi="Times New Roman" w:cs="Times New Roman"/>
          <w:lang w:eastAsia="pt-BR"/>
        </w:rPr>
        <w:t>o seu Estatuto Social</w:t>
      </w:r>
      <w:r w:rsidR="004615B9">
        <w:rPr>
          <w:rFonts w:ascii="Times New Roman" w:hAnsi="Times New Roman" w:cs="Times New Roman"/>
          <w:lang w:eastAsia="pt-BR"/>
        </w:rPr>
        <w:t xml:space="preserve"> (</w:t>
      </w:r>
      <w:r w:rsidR="00143D6A">
        <w:rPr>
          <w:rFonts w:ascii="Times New Roman" w:hAnsi="Times New Roman" w:cs="Times New Roman"/>
          <w:lang w:eastAsia="pt-BR"/>
        </w:rPr>
        <w:t xml:space="preserve">fls. </w:t>
      </w:r>
      <w:r w:rsidR="005553F6">
        <w:rPr>
          <w:rFonts w:ascii="Times New Roman" w:hAnsi="Times New Roman" w:cs="Times New Roman"/>
          <w:lang w:eastAsia="pt-BR"/>
        </w:rPr>
        <w:t>49/69</w:t>
      </w:r>
      <w:r w:rsidR="004615B9">
        <w:rPr>
          <w:rFonts w:ascii="Times New Roman" w:hAnsi="Times New Roman" w:cs="Times New Roman"/>
          <w:lang w:eastAsia="pt-BR"/>
        </w:rPr>
        <w:t>)</w:t>
      </w:r>
      <w:r w:rsidR="00FD6AD8">
        <w:rPr>
          <w:rFonts w:ascii="Times New Roman" w:hAnsi="Times New Roman" w:cs="Times New Roman"/>
          <w:lang w:eastAsia="pt-BR"/>
        </w:rPr>
        <w:t>,</w:t>
      </w:r>
      <w:r w:rsidR="005553F6">
        <w:rPr>
          <w:rFonts w:ascii="Times New Roman" w:hAnsi="Times New Roman" w:cs="Times New Roman"/>
          <w:lang w:eastAsia="pt-BR"/>
        </w:rPr>
        <w:t xml:space="preserve"> </w:t>
      </w:r>
      <w:r w:rsidR="00F837BA">
        <w:rPr>
          <w:rFonts w:ascii="Times New Roman" w:hAnsi="Times New Roman" w:cs="Times New Roman"/>
          <w:lang w:eastAsia="pt-BR"/>
        </w:rPr>
        <w:t>uma associação civil, sem fins lucrativos, que tem por objeto</w:t>
      </w:r>
      <w:r w:rsidR="00786DCA">
        <w:rPr>
          <w:rFonts w:ascii="Times New Roman" w:hAnsi="Times New Roman" w:cs="Times New Roman"/>
          <w:lang w:eastAsia="pt-BR"/>
        </w:rPr>
        <w:t xml:space="preserve">, entre outros, </w:t>
      </w:r>
      <w:r w:rsidR="00F837BA">
        <w:rPr>
          <w:rFonts w:ascii="Times New Roman" w:hAnsi="Times New Roman" w:cs="Times New Roman"/>
          <w:lang w:eastAsia="pt-BR"/>
        </w:rPr>
        <w:t>gerir os recursos a ela atribuídos pelas “companhias vencedoras” do Leilão 4G, e operacionalizar todos os procedimentos relativos à execução da “limpeza de faixa”</w:t>
      </w:r>
      <w:r w:rsidR="00202CC7">
        <w:rPr>
          <w:rFonts w:ascii="Times New Roman" w:hAnsi="Times New Roman" w:cs="Times New Roman"/>
          <w:lang w:eastAsia="pt-BR"/>
        </w:rPr>
        <w:t>.</w:t>
      </w:r>
    </w:p>
    <w:p w:rsidR="00202CC7" w:rsidRDefault="00202CC7" w:rsidP="00BE7E33">
      <w:pPr>
        <w:spacing w:line="360" w:lineRule="auto"/>
        <w:ind w:right="141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r w:rsidR="00D66067">
        <w:rPr>
          <w:rFonts w:ascii="Times New Roman" w:hAnsi="Times New Roman" w:cs="Times New Roman"/>
          <w:lang w:eastAsia="pt-BR"/>
        </w:rPr>
        <w:t>Para adimplir a referida obrigação concernente à “limpeza de faixa”, foram estabelecidas algumas obrigações à consulente, dentre as quais: adquirir e entregar “</w:t>
      </w:r>
      <w:r w:rsidR="00E83A3F">
        <w:rPr>
          <w:rFonts w:ascii="Times New Roman" w:hAnsi="Times New Roman" w:cs="Times New Roman"/>
          <w:lang w:eastAsia="pt-BR"/>
        </w:rPr>
        <w:t>c</w:t>
      </w:r>
      <w:r w:rsidR="00D66067">
        <w:rPr>
          <w:rFonts w:ascii="Times New Roman" w:hAnsi="Times New Roman" w:cs="Times New Roman"/>
          <w:lang w:eastAsia="pt-BR"/>
        </w:rPr>
        <w:t>onversores” de TV digital terrestre, bem como “</w:t>
      </w:r>
      <w:r w:rsidR="00E83A3F">
        <w:rPr>
          <w:rFonts w:ascii="Times New Roman" w:hAnsi="Times New Roman" w:cs="Times New Roman"/>
          <w:lang w:eastAsia="pt-BR"/>
        </w:rPr>
        <w:t>a</w:t>
      </w:r>
      <w:r w:rsidR="00D66067">
        <w:rPr>
          <w:rFonts w:ascii="Times New Roman" w:hAnsi="Times New Roman" w:cs="Times New Roman"/>
          <w:lang w:eastAsia="pt-BR"/>
        </w:rPr>
        <w:t xml:space="preserve">ntenas” de recepção de TV Digital, para famílias cadastradas nos programas sociais do Governo Federal pelo </w:t>
      </w:r>
      <w:r w:rsidR="00D66067" w:rsidRPr="00D66067">
        <w:rPr>
          <w:rFonts w:ascii="Times New Roman" w:hAnsi="Times New Roman" w:cs="Times New Roman"/>
          <w:lang w:eastAsia="pt-BR"/>
        </w:rPr>
        <w:t>Grupo de Implantação do Processo de Redistribuição e Digitalização de Canais de TV e RTV</w:t>
      </w:r>
      <w:r w:rsidR="00D66067">
        <w:rPr>
          <w:rFonts w:ascii="Times New Roman" w:hAnsi="Times New Roman" w:cs="Times New Roman"/>
          <w:lang w:eastAsia="pt-BR"/>
        </w:rPr>
        <w:t xml:space="preserve"> – GIRED.</w:t>
      </w:r>
    </w:p>
    <w:p w:rsidR="00131254" w:rsidRDefault="00131254" w:rsidP="00BE7E33">
      <w:pPr>
        <w:spacing w:line="360" w:lineRule="auto"/>
        <w:ind w:right="141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lastRenderedPageBreak/>
        <w:tab/>
        <w:t>Considerando que a aquisição e posterior entrega de referidos equipamentos aos beneficiários de programas sociais é uma obrigação imposta à consulente, não lhe sendo atribuída qualquer alternativa para implementação dessa destinação, entende a consulente que referida atividade não pode ser considerada como uma doação.  Nesse sentido, entende também a consulente que por se tratar de uma associação sem fins lucrativos cujo escopo é o cumprimento de uma obrigação editalícia, não há que se falar em execução de qualquer eventual obrigação de cunho mercantil e/ou doação.</w:t>
      </w:r>
    </w:p>
    <w:p w:rsidR="003C7802" w:rsidRDefault="003C7802" w:rsidP="00BE7E33">
      <w:pPr>
        <w:spacing w:line="360" w:lineRule="auto"/>
        <w:ind w:right="141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>Nesse contexto, visando cumprir as obrigações impostas pelo Leilão 4G, informa a consulente que contará com um estabelecimento ainda a ser constituído no Estado do Rio de Janeiro</w:t>
      </w:r>
      <w:r w:rsidR="00B84AA8">
        <w:rPr>
          <w:rFonts w:ascii="Times New Roman" w:hAnsi="Times New Roman" w:cs="Times New Roman"/>
          <w:lang w:eastAsia="pt-BR"/>
        </w:rPr>
        <w:t xml:space="preserve"> (“Estabelecimento 01”), </w:t>
      </w:r>
      <w:r>
        <w:rPr>
          <w:rFonts w:ascii="Times New Roman" w:hAnsi="Times New Roman" w:cs="Times New Roman"/>
          <w:lang w:eastAsia="pt-BR"/>
        </w:rPr>
        <w:t>o qual será responsável pelo recebimento e estocagem</w:t>
      </w:r>
      <w:r w:rsidR="00570DA4">
        <w:rPr>
          <w:rFonts w:ascii="Times New Roman" w:hAnsi="Times New Roman" w:cs="Times New Roman"/>
          <w:lang w:eastAsia="pt-BR"/>
        </w:rPr>
        <w:t xml:space="preserve"> de todo o volume de equipamentos que serão distribuídos para os beneficiários localizados neste Estado.</w:t>
      </w:r>
    </w:p>
    <w:p w:rsidR="00570DA4" w:rsidRDefault="00570DA4" w:rsidP="00BE7E33">
      <w:pPr>
        <w:spacing w:line="360" w:lineRule="auto"/>
        <w:ind w:right="141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r w:rsidR="00B84AA8">
        <w:rPr>
          <w:rFonts w:ascii="Times New Roman" w:hAnsi="Times New Roman" w:cs="Times New Roman"/>
          <w:lang w:eastAsia="pt-BR"/>
        </w:rPr>
        <w:t>Tendo em vista a dificuldade de deslocamento de todos os beneficiários de programas sociais para o “Estabelecimento 01”, informa a mesma que operará, também, com “Pontos de Retirada dos Equipamentos (</w:t>
      </w:r>
      <w:proofErr w:type="gramStart"/>
      <w:r w:rsidR="00B84AA8">
        <w:rPr>
          <w:rFonts w:ascii="Times New Roman" w:hAnsi="Times New Roman" w:cs="Times New Roman"/>
          <w:lang w:eastAsia="pt-BR"/>
        </w:rPr>
        <w:t>“PDR</w:t>
      </w:r>
      <w:proofErr w:type="gramEnd"/>
      <w:r w:rsidR="00B84AA8">
        <w:rPr>
          <w:rFonts w:ascii="Times New Roman" w:hAnsi="Times New Roman" w:cs="Times New Roman"/>
          <w:lang w:eastAsia="pt-BR"/>
        </w:rPr>
        <w:t>”)  de modo a permitir a retirada dos equipamentos pelos próprios beneficiários. Destaca que os “PDR” não possuirão personalidade jurídica</w:t>
      </w:r>
      <w:r w:rsidR="009F3963">
        <w:rPr>
          <w:rFonts w:ascii="Times New Roman" w:hAnsi="Times New Roman" w:cs="Times New Roman"/>
          <w:lang w:eastAsia="pt-BR"/>
        </w:rPr>
        <w:t xml:space="preserve"> (CNPJ)</w:t>
      </w:r>
      <w:r w:rsidR="00B84AA8">
        <w:rPr>
          <w:rFonts w:ascii="Times New Roman" w:hAnsi="Times New Roman" w:cs="Times New Roman"/>
          <w:lang w:eastAsia="pt-BR"/>
        </w:rPr>
        <w:t>, funcionando apenas como extensão/prolongamento do “Estabel</w:t>
      </w:r>
      <w:r w:rsidR="003C7CA1">
        <w:rPr>
          <w:rFonts w:ascii="Times New Roman" w:hAnsi="Times New Roman" w:cs="Times New Roman"/>
          <w:lang w:eastAsia="pt-BR"/>
        </w:rPr>
        <w:t>ec</w:t>
      </w:r>
      <w:r w:rsidR="00B84AA8">
        <w:rPr>
          <w:rFonts w:ascii="Times New Roman" w:hAnsi="Times New Roman" w:cs="Times New Roman"/>
          <w:lang w:eastAsia="pt-BR"/>
        </w:rPr>
        <w:t>imento 01”.</w:t>
      </w:r>
    </w:p>
    <w:p w:rsidR="00131254" w:rsidRDefault="00131254" w:rsidP="00BE7E33">
      <w:pPr>
        <w:spacing w:line="360" w:lineRule="auto"/>
        <w:ind w:right="141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r w:rsidR="009F3963">
        <w:rPr>
          <w:rFonts w:ascii="Times New Roman" w:hAnsi="Times New Roman" w:cs="Times New Roman"/>
          <w:lang w:eastAsia="pt-BR"/>
        </w:rPr>
        <w:t>Ainda no que concerne à sua estrutura operacional, visando cumprir com sua obrigação editalícia, relata que verificou no mercado interno quais são os fabricantes/revendedores dos equipamentos mencionados acima, tendo identificado alguns possíveis parceiros localizados nos Estados de Minas Gerais, Santa Catarina</w:t>
      </w:r>
      <w:r w:rsidR="002F0940">
        <w:rPr>
          <w:rFonts w:ascii="Times New Roman" w:hAnsi="Times New Roman" w:cs="Times New Roman"/>
          <w:lang w:eastAsia="pt-BR"/>
        </w:rPr>
        <w:t xml:space="preserve">, Paraná, </w:t>
      </w:r>
      <w:r w:rsidR="009F3963">
        <w:rPr>
          <w:rFonts w:ascii="Times New Roman" w:hAnsi="Times New Roman" w:cs="Times New Roman"/>
          <w:lang w:eastAsia="pt-BR"/>
        </w:rPr>
        <w:t>Espiri</w:t>
      </w:r>
      <w:r w:rsidR="002F0940">
        <w:rPr>
          <w:rFonts w:ascii="Times New Roman" w:hAnsi="Times New Roman" w:cs="Times New Roman"/>
          <w:lang w:eastAsia="pt-BR"/>
        </w:rPr>
        <w:t>to Santo e Amazonas.</w:t>
      </w:r>
    </w:p>
    <w:p w:rsidR="00DF76DC" w:rsidRDefault="00DF76DC" w:rsidP="00BE7E33">
      <w:pPr>
        <w:spacing w:line="360" w:lineRule="auto"/>
        <w:ind w:right="141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>Considerando os possíveis parceiros mencionados acima, bem assim o disposto na Emenda Constitucional n.º 87/15, a consulente informa que adquirirá os produtos para distribuição em operação interestadual, considerando a carga efetiva vigente no Estado do Rio de Janeiro, ficando o fornecedor obrigado ao recolhimento do diferencial de alíquot</w:t>
      </w:r>
      <w:r w:rsidR="00BB2C84">
        <w:rPr>
          <w:rFonts w:ascii="Times New Roman" w:hAnsi="Times New Roman" w:cs="Times New Roman"/>
          <w:lang w:eastAsia="pt-BR"/>
        </w:rPr>
        <w:t>a</w:t>
      </w:r>
      <w:r>
        <w:rPr>
          <w:rFonts w:ascii="Times New Roman" w:hAnsi="Times New Roman" w:cs="Times New Roman"/>
          <w:lang w:eastAsia="pt-BR"/>
        </w:rPr>
        <w:t xml:space="preserve">s para este </w:t>
      </w:r>
      <w:r w:rsidR="00BB2C84">
        <w:rPr>
          <w:rFonts w:ascii="Times New Roman" w:hAnsi="Times New Roman" w:cs="Times New Roman"/>
          <w:lang w:eastAsia="pt-BR"/>
        </w:rPr>
        <w:t>Estado.</w:t>
      </w:r>
    </w:p>
    <w:p w:rsidR="00BB2C84" w:rsidRDefault="00BB2C84" w:rsidP="00BE7E33">
      <w:pPr>
        <w:spacing w:line="360" w:lineRule="auto"/>
        <w:ind w:right="141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r w:rsidR="008345E7">
        <w:rPr>
          <w:rFonts w:ascii="Times New Roman" w:hAnsi="Times New Roman" w:cs="Times New Roman"/>
          <w:lang w:eastAsia="pt-BR"/>
        </w:rPr>
        <w:t xml:space="preserve">Considerando que as obrigações mencionadas envolvem a aquisição pela consulente de diversos equipamentos para entrega, </w:t>
      </w:r>
      <w:proofErr w:type="gramStart"/>
      <w:r w:rsidR="008345E7">
        <w:rPr>
          <w:rFonts w:ascii="Times New Roman" w:hAnsi="Times New Roman" w:cs="Times New Roman"/>
          <w:lang w:eastAsia="pt-BR"/>
        </w:rPr>
        <w:t>à</w:t>
      </w:r>
      <w:proofErr w:type="gramEnd"/>
      <w:r w:rsidR="008345E7">
        <w:rPr>
          <w:rFonts w:ascii="Times New Roman" w:hAnsi="Times New Roman" w:cs="Times New Roman"/>
          <w:lang w:eastAsia="pt-BR"/>
        </w:rPr>
        <w:t xml:space="preserve"> título gratuito, bem como não realizará qualquer operação de venda, entende a mesma que não deve ser considerada contribuinte do ICMS, mas apenas consumidora final dos referidos equipamentos.</w:t>
      </w:r>
    </w:p>
    <w:p w:rsidR="008345E7" w:rsidRDefault="008345E7" w:rsidP="00BE7E33">
      <w:pPr>
        <w:spacing w:line="360" w:lineRule="auto"/>
        <w:ind w:right="141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lastRenderedPageBreak/>
        <w:tab/>
      </w:r>
      <w:r w:rsidR="008E414C">
        <w:rPr>
          <w:rFonts w:ascii="Times New Roman" w:hAnsi="Times New Roman" w:cs="Times New Roman"/>
          <w:lang w:eastAsia="pt-BR"/>
        </w:rPr>
        <w:t>No pressuposto que sua caracterização como não contribuinte do ICMS é clara, a consulente identificou na legislação deste Estado a possibilidade de emissão de Nota Fiscal Avulsa para operacionalizar a movimentação de equipamentos casos específicos, nos termos do artigo 35 do Anexo I, Livro VI, do Regulamento do ICMS deste Estado – RICMS/00, aprovado pelo Decreto n.º 27.424/00.</w:t>
      </w:r>
    </w:p>
    <w:p w:rsidR="008E414C" w:rsidRDefault="008E414C" w:rsidP="00BE7E33">
      <w:pPr>
        <w:spacing w:line="360" w:lineRule="auto"/>
        <w:ind w:right="141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r w:rsidR="005E1DC4">
        <w:rPr>
          <w:rFonts w:ascii="Times New Roman" w:hAnsi="Times New Roman" w:cs="Times New Roman"/>
          <w:lang w:eastAsia="pt-BR"/>
        </w:rPr>
        <w:t>Contudo, considerando que a previsão acima envolve uma possibilidade, não uma imposição, entende que não precisaria emitir referido documento fiscal, seja para transitar com referidos produtos do seu “Estabelecimento 01” para seus “</w:t>
      </w:r>
      <w:proofErr w:type="spellStart"/>
      <w:r w:rsidR="005E1DC4">
        <w:rPr>
          <w:rFonts w:ascii="Times New Roman" w:hAnsi="Times New Roman" w:cs="Times New Roman"/>
          <w:lang w:eastAsia="pt-BR"/>
        </w:rPr>
        <w:t>PDRs</w:t>
      </w:r>
      <w:proofErr w:type="spellEnd"/>
      <w:r w:rsidR="005E1DC4">
        <w:rPr>
          <w:rFonts w:ascii="Times New Roman" w:hAnsi="Times New Roman" w:cs="Times New Roman"/>
          <w:lang w:eastAsia="pt-BR"/>
        </w:rPr>
        <w:t>”, seja para entrega desses equipamentos para os beneficiários de programas sociais.</w:t>
      </w:r>
    </w:p>
    <w:p w:rsidR="00992044" w:rsidRDefault="00992044" w:rsidP="00BE7E33">
      <w:pPr>
        <w:spacing w:line="360" w:lineRule="auto"/>
        <w:ind w:right="141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>Assim, considerando seu entendimento pela não obrigatoriedade de emissão de Nota Fiscal Avulsa, a consulente entende corret</w:t>
      </w:r>
      <w:r w:rsidR="00DC72FB">
        <w:rPr>
          <w:rFonts w:ascii="Times New Roman" w:hAnsi="Times New Roman" w:cs="Times New Roman"/>
          <w:lang w:eastAsia="pt-BR"/>
        </w:rPr>
        <w:t>a</w:t>
      </w:r>
      <w:r>
        <w:rPr>
          <w:rFonts w:ascii="Times New Roman" w:hAnsi="Times New Roman" w:cs="Times New Roman"/>
          <w:lang w:eastAsia="pt-BR"/>
        </w:rPr>
        <w:t xml:space="preserve"> a emissão de um romaneio, conforme leiaute de fls. </w:t>
      </w:r>
      <w:r w:rsidR="00C70AE7">
        <w:rPr>
          <w:rFonts w:ascii="Times New Roman" w:hAnsi="Times New Roman" w:cs="Times New Roman"/>
          <w:lang w:eastAsia="pt-BR"/>
        </w:rPr>
        <w:t>217, que acompanhado de resposta à consulta reconhecendo a consulente como não contribuinte do ICMS</w:t>
      </w:r>
      <w:r w:rsidR="00740580">
        <w:rPr>
          <w:rFonts w:ascii="Times New Roman" w:hAnsi="Times New Roman" w:cs="Times New Roman"/>
          <w:lang w:eastAsia="pt-BR"/>
        </w:rPr>
        <w:t>, serviria para documentar o transporte dos produtos do seu “Estabelecimento 01” para seus “</w:t>
      </w:r>
      <w:proofErr w:type="spellStart"/>
      <w:r w:rsidR="00740580">
        <w:rPr>
          <w:rFonts w:ascii="Times New Roman" w:hAnsi="Times New Roman" w:cs="Times New Roman"/>
          <w:lang w:eastAsia="pt-BR"/>
        </w:rPr>
        <w:t>PDRs</w:t>
      </w:r>
      <w:proofErr w:type="spellEnd"/>
      <w:r w:rsidR="00740580">
        <w:rPr>
          <w:rFonts w:ascii="Times New Roman" w:hAnsi="Times New Roman" w:cs="Times New Roman"/>
          <w:lang w:eastAsia="pt-BR"/>
        </w:rPr>
        <w:t>”, e emissão de documento interno, conforme leiaute de fls. 219, para a entrega dos equipamentos que serão distribuídos para os beneficiários, no cumprimento de sua obrigação editalícia.</w:t>
      </w:r>
    </w:p>
    <w:p w:rsidR="00740580" w:rsidRDefault="00740580" w:rsidP="00BE7E33">
      <w:pPr>
        <w:spacing w:line="360" w:lineRule="auto"/>
        <w:ind w:right="141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r w:rsidR="001B1B35">
        <w:rPr>
          <w:rFonts w:ascii="Times New Roman" w:hAnsi="Times New Roman" w:cs="Times New Roman"/>
          <w:lang w:eastAsia="pt-BR"/>
        </w:rPr>
        <w:t xml:space="preserve">Relativamente ao teor desta consulta, informa a consulente que, em razão da sua agenda de entrega, já discutiu a matéria com outros Estados da Federação, dentre eles, os Estados de São Paulo, Minas Gerais e Bahia, tendo sido proferidas decisões ratificando o seu entendimento </w:t>
      </w:r>
      <w:r w:rsidR="00DC72FB">
        <w:rPr>
          <w:rFonts w:ascii="Times New Roman" w:hAnsi="Times New Roman" w:cs="Times New Roman"/>
          <w:lang w:eastAsia="pt-BR"/>
        </w:rPr>
        <w:t xml:space="preserve">no sentido de </w:t>
      </w:r>
      <w:r w:rsidR="001B1B35">
        <w:rPr>
          <w:rFonts w:ascii="Times New Roman" w:hAnsi="Times New Roman" w:cs="Times New Roman"/>
          <w:lang w:eastAsia="pt-BR"/>
        </w:rPr>
        <w:t>não</w:t>
      </w:r>
      <w:r w:rsidR="00DC72FB">
        <w:rPr>
          <w:rFonts w:ascii="Times New Roman" w:hAnsi="Times New Roman" w:cs="Times New Roman"/>
          <w:lang w:eastAsia="pt-BR"/>
        </w:rPr>
        <w:t xml:space="preserve"> ser </w:t>
      </w:r>
      <w:r w:rsidR="001B1B35">
        <w:rPr>
          <w:rFonts w:ascii="Times New Roman" w:hAnsi="Times New Roman" w:cs="Times New Roman"/>
          <w:lang w:eastAsia="pt-BR"/>
        </w:rPr>
        <w:t>contribuinte do ICMS, nos termos das Soluções de Consultas reproduzidas às fls.13/15 e com cópias anexadas às fls. 246/266.</w:t>
      </w:r>
    </w:p>
    <w:p w:rsidR="001B1B35" w:rsidRPr="006524C8" w:rsidRDefault="001B1B35" w:rsidP="00BE7E33">
      <w:pPr>
        <w:spacing w:line="360" w:lineRule="auto"/>
        <w:ind w:right="141"/>
        <w:jc w:val="both"/>
        <w:rPr>
          <w:rFonts w:ascii="Times New Roman" w:hAnsi="Times New Roman" w:cs="Times New Roman"/>
          <w:b/>
          <w:smallCaps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proofErr w:type="gramStart"/>
      <w:r w:rsidRPr="006524C8">
        <w:rPr>
          <w:rFonts w:ascii="Times New Roman" w:hAnsi="Times New Roman" w:cs="Times New Roman"/>
          <w:b/>
          <w:smallCaps/>
          <w:lang w:eastAsia="pt-BR"/>
        </w:rPr>
        <w:t>Isto posto</w:t>
      </w:r>
      <w:proofErr w:type="gramEnd"/>
      <w:r w:rsidRPr="006524C8">
        <w:rPr>
          <w:rFonts w:ascii="Times New Roman" w:hAnsi="Times New Roman" w:cs="Times New Roman"/>
          <w:b/>
          <w:smallCaps/>
          <w:lang w:eastAsia="pt-BR"/>
        </w:rPr>
        <w:t>, Consulta:</w:t>
      </w:r>
    </w:p>
    <w:p w:rsidR="001B1B35" w:rsidRDefault="001B1B35" w:rsidP="00BE7E33">
      <w:pPr>
        <w:spacing w:line="360" w:lineRule="auto"/>
        <w:ind w:right="141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proofErr w:type="gramStart"/>
      <w:r>
        <w:rPr>
          <w:rFonts w:ascii="Times New Roman" w:hAnsi="Times New Roman" w:cs="Times New Roman"/>
          <w:lang w:eastAsia="pt-BR"/>
        </w:rPr>
        <w:t>1</w:t>
      </w:r>
      <w:proofErr w:type="gramEnd"/>
      <w:r>
        <w:rPr>
          <w:rFonts w:ascii="Times New Roman" w:hAnsi="Times New Roman" w:cs="Times New Roman"/>
          <w:lang w:eastAsia="pt-BR"/>
        </w:rPr>
        <w:t>) É correto afirmar que, tendo em vista o disposto no artigo 15 da Lei n.º 2.657/96, a entrega</w:t>
      </w:r>
      <w:r w:rsidR="00DC72FB">
        <w:rPr>
          <w:rFonts w:ascii="Times New Roman" w:hAnsi="Times New Roman" w:cs="Times New Roman"/>
          <w:lang w:eastAsia="pt-BR"/>
        </w:rPr>
        <w:t xml:space="preserve">, </w:t>
      </w:r>
      <w:r>
        <w:rPr>
          <w:rFonts w:ascii="Times New Roman" w:hAnsi="Times New Roman" w:cs="Times New Roman"/>
          <w:lang w:eastAsia="pt-BR"/>
        </w:rPr>
        <w:t>à título gratuito</w:t>
      </w:r>
      <w:r w:rsidR="00DC72FB">
        <w:rPr>
          <w:rFonts w:ascii="Times New Roman" w:hAnsi="Times New Roman" w:cs="Times New Roman"/>
          <w:lang w:eastAsia="pt-BR"/>
        </w:rPr>
        <w:t xml:space="preserve">, </w:t>
      </w:r>
      <w:r>
        <w:rPr>
          <w:rFonts w:ascii="Times New Roman" w:hAnsi="Times New Roman" w:cs="Times New Roman"/>
          <w:lang w:eastAsia="pt-BR"/>
        </w:rPr>
        <w:t>de equipamentos, em cumprimento à obrigação editalícia, está fora da sujeição do ICMS, devendo a consulente ser caracterizada como não contribuinte do ICMS?</w:t>
      </w:r>
    </w:p>
    <w:p w:rsidR="001B1B35" w:rsidRDefault="001B1B35" w:rsidP="00BE7E33">
      <w:pPr>
        <w:spacing w:line="360" w:lineRule="auto"/>
        <w:ind w:right="141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proofErr w:type="gramStart"/>
      <w:r>
        <w:rPr>
          <w:rFonts w:ascii="Times New Roman" w:hAnsi="Times New Roman" w:cs="Times New Roman"/>
          <w:lang w:eastAsia="pt-BR"/>
        </w:rPr>
        <w:t>2</w:t>
      </w:r>
      <w:proofErr w:type="gramEnd"/>
      <w:r>
        <w:rPr>
          <w:rFonts w:ascii="Times New Roman" w:hAnsi="Times New Roman" w:cs="Times New Roman"/>
          <w:lang w:eastAsia="pt-BR"/>
        </w:rPr>
        <w:t xml:space="preserve">) </w:t>
      </w:r>
      <w:r w:rsidR="00017FAA">
        <w:rPr>
          <w:rFonts w:ascii="Times New Roman" w:hAnsi="Times New Roman" w:cs="Times New Roman"/>
          <w:lang w:eastAsia="pt-BR"/>
        </w:rPr>
        <w:t xml:space="preserve">É correto afirmar que a consulente, no cumprimento dessa obrigação editalícia, está desobrigada de emitir </w:t>
      </w:r>
      <w:proofErr w:type="spellStart"/>
      <w:r w:rsidR="00017FAA">
        <w:rPr>
          <w:rFonts w:ascii="Times New Roman" w:hAnsi="Times New Roman" w:cs="Times New Roman"/>
          <w:lang w:eastAsia="pt-BR"/>
        </w:rPr>
        <w:t>NFA-e</w:t>
      </w:r>
      <w:proofErr w:type="spellEnd"/>
      <w:r w:rsidR="00017FAA">
        <w:rPr>
          <w:rFonts w:ascii="Times New Roman" w:hAnsi="Times New Roman" w:cs="Times New Roman"/>
          <w:lang w:eastAsia="pt-BR"/>
        </w:rPr>
        <w:t xml:space="preserve"> na movimentação de equipamentos do “Estabelecimento 01” aos “</w:t>
      </w:r>
      <w:proofErr w:type="spellStart"/>
      <w:r w:rsidR="00017FAA">
        <w:rPr>
          <w:rFonts w:ascii="Times New Roman" w:hAnsi="Times New Roman" w:cs="Times New Roman"/>
          <w:lang w:eastAsia="pt-BR"/>
        </w:rPr>
        <w:t>PDRs</w:t>
      </w:r>
      <w:proofErr w:type="spellEnd"/>
      <w:r w:rsidR="00017FAA">
        <w:rPr>
          <w:rFonts w:ascii="Times New Roman" w:hAnsi="Times New Roman" w:cs="Times New Roman"/>
          <w:lang w:eastAsia="pt-BR"/>
        </w:rPr>
        <w:t>”</w:t>
      </w:r>
      <w:r w:rsidR="008F50F7">
        <w:rPr>
          <w:rFonts w:ascii="Times New Roman" w:hAnsi="Times New Roman" w:cs="Times New Roman"/>
          <w:lang w:eastAsia="pt-BR"/>
        </w:rPr>
        <w:t>, bem como na entrega dos equipamentos aos beneficiários dos programas sociais, a qual poderá ser realizada unicamente por meio de documento interno (recibo)?</w:t>
      </w:r>
    </w:p>
    <w:p w:rsidR="008F50F7" w:rsidRDefault="008F50F7" w:rsidP="00BE7E33">
      <w:pPr>
        <w:spacing w:line="360" w:lineRule="auto"/>
        <w:ind w:right="141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lastRenderedPageBreak/>
        <w:tab/>
      </w:r>
      <w:proofErr w:type="gramStart"/>
      <w:r>
        <w:rPr>
          <w:rFonts w:ascii="Times New Roman" w:hAnsi="Times New Roman" w:cs="Times New Roman"/>
          <w:lang w:eastAsia="pt-BR"/>
        </w:rPr>
        <w:t>3</w:t>
      </w:r>
      <w:proofErr w:type="gramEnd"/>
      <w:r>
        <w:rPr>
          <w:rFonts w:ascii="Times New Roman" w:hAnsi="Times New Roman" w:cs="Times New Roman"/>
          <w:lang w:eastAsia="pt-BR"/>
        </w:rPr>
        <w:t>) Caso não seja esse o entendimento do Estado do Rio de Janeiro ao cenário acima descrito, é correto afirmar que a consulente (i) pode</w:t>
      </w:r>
      <w:r w:rsidR="00DD3D5B">
        <w:rPr>
          <w:rFonts w:ascii="Times New Roman" w:hAnsi="Times New Roman" w:cs="Times New Roman"/>
          <w:lang w:eastAsia="pt-BR"/>
        </w:rPr>
        <w:t xml:space="preserve"> emitir uma Nota Fiscal Avulsa quando da saída dos equipamentos do</w:t>
      </w:r>
      <w:r w:rsidR="00AA1F11">
        <w:rPr>
          <w:rFonts w:ascii="Times New Roman" w:hAnsi="Times New Roman" w:cs="Times New Roman"/>
          <w:lang w:eastAsia="pt-BR"/>
        </w:rPr>
        <w:t xml:space="preserve"> “Estabelecimento 01” para os “</w:t>
      </w:r>
      <w:proofErr w:type="spellStart"/>
      <w:r w:rsidR="00AA1F11">
        <w:rPr>
          <w:rFonts w:ascii="Times New Roman" w:hAnsi="Times New Roman" w:cs="Times New Roman"/>
          <w:lang w:eastAsia="pt-BR"/>
        </w:rPr>
        <w:t>PDRs</w:t>
      </w:r>
      <w:proofErr w:type="spellEnd"/>
      <w:r w:rsidR="00AA1F11">
        <w:rPr>
          <w:rFonts w:ascii="Times New Roman" w:hAnsi="Times New Roman" w:cs="Times New Roman"/>
          <w:lang w:eastAsia="pt-BR"/>
        </w:rPr>
        <w:t xml:space="preserve">”, exaurindo sua obrigação, e (ii) tendo em vista a emissão de Nota Fiscal Avulsa mencionada no item 1, pode realizar a entrega dos equipamentos aos beneficiários dos programas sociais, em cumprimento a uma obrigação editalícia, unicamente por meio de documento interno (recibo)? </w:t>
      </w:r>
    </w:p>
    <w:p w:rsidR="00EF07B0" w:rsidRPr="00EF07B0" w:rsidRDefault="00131254" w:rsidP="001B1B35">
      <w:pPr>
        <w:spacing w:line="360" w:lineRule="auto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t-BR"/>
        </w:rPr>
        <w:tab/>
      </w:r>
      <w:r w:rsidR="00EF07B0" w:rsidRPr="00EF07B0">
        <w:rPr>
          <w:rFonts w:ascii="Times New Roman" w:hAnsi="Times New Roman" w:cs="Times New Roman"/>
        </w:rPr>
        <w:t xml:space="preserve"> </w:t>
      </w:r>
      <w:r w:rsidR="004C4831">
        <w:rPr>
          <w:rFonts w:ascii="Times New Roman" w:hAnsi="Times New Roman" w:cs="Times New Roman"/>
        </w:rPr>
        <w:t xml:space="preserve">O </w:t>
      </w:r>
      <w:r w:rsidR="00EF07B0" w:rsidRPr="00EF07B0">
        <w:rPr>
          <w:rFonts w:ascii="Times New Roman" w:hAnsi="Times New Roman" w:cs="Times New Roman"/>
        </w:rPr>
        <w:t xml:space="preserve">processo encontra-se instruído com o comprovante de pagamento da TSE (fls. </w:t>
      </w:r>
      <w:r w:rsidR="004C4831">
        <w:rPr>
          <w:rFonts w:ascii="Times New Roman" w:hAnsi="Times New Roman" w:cs="Times New Roman"/>
        </w:rPr>
        <w:t>21</w:t>
      </w:r>
      <w:r w:rsidR="00EF07B0" w:rsidRPr="00EF07B0">
        <w:rPr>
          <w:rFonts w:ascii="Times New Roman" w:hAnsi="Times New Roman" w:cs="Times New Roman"/>
        </w:rPr>
        <w:t>)</w:t>
      </w:r>
      <w:r w:rsidR="004C4831">
        <w:rPr>
          <w:rFonts w:ascii="Times New Roman" w:hAnsi="Times New Roman" w:cs="Times New Roman"/>
        </w:rPr>
        <w:t xml:space="preserve"> e o instrumento com </w:t>
      </w:r>
      <w:r w:rsidR="00EF07B0" w:rsidRPr="00EF07B0">
        <w:rPr>
          <w:rFonts w:ascii="Times New Roman" w:hAnsi="Times New Roman" w:cs="Times New Roman"/>
        </w:rPr>
        <w:t xml:space="preserve">a habilitação do signatário da inicial para postular em nome da consulente (fls. </w:t>
      </w:r>
      <w:r w:rsidR="004C4831">
        <w:rPr>
          <w:rFonts w:ascii="Times New Roman" w:hAnsi="Times New Roman" w:cs="Times New Roman"/>
        </w:rPr>
        <w:t>23/24)</w:t>
      </w:r>
      <w:r w:rsidR="00EF07B0" w:rsidRPr="00EF07B0">
        <w:rPr>
          <w:rFonts w:ascii="Times New Roman" w:hAnsi="Times New Roman" w:cs="Times New Roman"/>
        </w:rPr>
        <w:t>.</w:t>
      </w:r>
    </w:p>
    <w:p w:rsidR="00B37231" w:rsidRDefault="00EF07B0" w:rsidP="00B37231">
      <w:pPr>
        <w:ind w:right="141"/>
        <w:rPr>
          <w:rFonts w:ascii="Times New Roman" w:hAnsi="Times New Roman" w:cs="Times New Roman"/>
          <w:b/>
          <w:smallCaps/>
        </w:rPr>
      </w:pPr>
      <w:r w:rsidRPr="0074739C">
        <w:rPr>
          <w:rFonts w:ascii="Times New Roman" w:hAnsi="Times New Roman" w:cs="Times New Roman"/>
          <w:b/>
          <w:smallCaps/>
          <w:lang w:eastAsia="pt-BR"/>
        </w:rPr>
        <w:tab/>
        <w:t xml:space="preserve"> </w:t>
      </w:r>
      <w:r w:rsidRPr="0038079D">
        <w:rPr>
          <w:rFonts w:ascii="Times New Roman" w:hAnsi="Times New Roman" w:cs="Times New Roman"/>
          <w:b/>
          <w:smallCaps/>
        </w:rPr>
        <w:t>II – A</w:t>
      </w:r>
      <w:r w:rsidR="0074739C" w:rsidRPr="0038079D">
        <w:rPr>
          <w:rFonts w:ascii="Times New Roman" w:hAnsi="Times New Roman" w:cs="Times New Roman"/>
          <w:b/>
          <w:smallCaps/>
        </w:rPr>
        <w:t>nálise</w:t>
      </w:r>
      <w:r w:rsidRPr="0038079D">
        <w:rPr>
          <w:rFonts w:ascii="Times New Roman" w:hAnsi="Times New Roman" w:cs="Times New Roman"/>
          <w:b/>
          <w:smallCaps/>
        </w:rPr>
        <w:t xml:space="preserve"> </w:t>
      </w:r>
      <w:r w:rsidR="0074739C" w:rsidRPr="0038079D">
        <w:rPr>
          <w:rFonts w:ascii="Times New Roman" w:hAnsi="Times New Roman" w:cs="Times New Roman"/>
          <w:b/>
          <w:smallCaps/>
        </w:rPr>
        <w:t>e</w:t>
      </w:r>
      <w:r w:rsidRPr="0038079D">
        <w:rPr>
          <w:rFonts w:ascii="Times New Roman" w:hAnsi="Times New Roman" w:cs="Times New Roman"/>
          <w:b/>
          <w:smallCaps/>
        </w:rPr>
        <w:t xml:space="preserve"> F</w:t>
      </w:r>
      <w:r w:rsidR="00B37231">
        <w:rPr>
          <w:rFonts w:ascii="Times New Roman" w:hAnsi="Times New Roman" w:cs="Times New Roman"/>
          <w:b/>
          <w:smallCaps/>
        </w:rPr>
        <w:t xml:space="preserve">undamentação e </w:t>
      </w:r>
      <w:r w:rsidR="00B37231" w:rsidRPr="00EF07B0">
        <w:rPr>
          <w:rFonts w:ascii="Times New Roman" w:hAnsi="Times New Roman" w:cs="Times New Roman"/>
          <w:b/>
          <w:smallCaps/>
        </w:rPr>
        <w:t>Resposta:</w:t>
      </w:r>
    </w:p>
    <w:p w:rsidR="0038079D" w:rsidRPr="0038079D" w:rsidRDefault="0038079D" w:rsidP="008F6734">
      <w:pPr>
        <w:spacing w:line="360" w:lineRule="auto"/>
        <w:ind w:right="142"/>
        <w:jc w:val="both"/>
        <w:rPr>
          <w:rFonts w:ascii="Times New Roman" w:hAnsi="Times New Roman" w:cs="Times New Roman"/>
        </w:rPr>
      </w:pPr>
      <w:r w:rsidRPr="00C879EE">
        <w:rPr>
          <w:rFonts w:ascii="Times New Roman" w:hAnsi="Times New Roman" w:cs="Times New Roman"/>
        </w:rPr>
        <w:tab/>
      </w:r>
      <w:proofErr w:type="gramStart"/>
      <w:r w:rsidR="00C879EE" w:rsidRPr="00C879EE">
        <w:rPr>
          <w:rFonts w:ascii="Times New Roman" w:hAnsi="Times New Roman" w:cs="Times New Roman"/>
        </w:rPr>
        <w:t>1</w:t>
      </w:r>
      <w:proofErr w:type="gramEnd"/>
      <w:r w:rsidR="00C879EE" w:rsidRPr="00C879EE">
        <w:rPr>
          <w:rFonts w:ascii="Times New Roman" w:hAnsi="Times New Roman" w:cs="Times New Roman"/>
        </w:rPr>
        <w:t xml:space="preserve">) Sim.  </w:t>
      </w:r>
      <w:r w:rsidRPr="0038079D">
        <w:rPr>
          <w:rFonts w:ascii="Times New Roman" w:hAnsi="Times New Roman" w:cs="Times New Roman"/>
        </w:rPr>
        <w:t>O artigo 15 da Lei n.º 2.657/96 dispõe sobre a sujeiç</w:t>
      </w:r>
      <w:r>
        <w:rPr>
          <w:rFonts w:ascii="Times New Roman" w:hAnsi="Times New Roman" w:cs="Times New Roman"/>
        </w:rPr>
        <w:t xml:space="preserve">ão passiva </w:t>
      </w:r>
      <w:r w:rsidR="00DA2CD6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tipifica</w:t>
      </w:r>
      <w:r w:rsidR="00DA2C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 contribuinte do ICMS, conforme abaixo transcrito:</w:t>
      </w:r>
    </w:p>
    <w:p w:rsidR="004C4831" w:rsidRPr="0038079D" w:rsidRDefault="004C4831" w:rsidP="008F6734">
      <w:pPr>
        <w:spacing w:line="360" w:lineRule="auto"/>
        <w:ind w:right="142"/>
        <w:jc w:val="both"/>
        <w:rPr>
          <w:rFonts w:ascii="Times New Roman" w:hAnsi="Times New Roman" w:cs="Times New Roman"/>
          <w:i/>
        </w:rPr>
      </w:pPr>
      <w:r w:rsidRPr="0038079D">
        <w:rPr>
          <w:rFonts w:ascii="Times New Roman" w:hAnsi="Times New Roman" w:cs="Times New Roman"/>
        </w:rPr>
        <w:tab/>
      </w:r>
      <w:r w:rsidR="0038079D">
        <w:rPr>
          <w:rFonts w:ascii="Times New Roman" w:hAnsi="Times New Roman" w:cs="Times New Roman"/>
        </w:rPr>
        <w:t>“</w:t>
      </w:r>
      <w:r w:rsidR="00DF1DB1" w:rsidRPr="0038079D">
        <w:rPr>
          <w:rFonts w:ascii="Times New Roman" w:hAnsi="Times New Roman" w:cs="Times New Roman"/>
          <w:i/>
        </w:rPr>
        <w:t xml:space="preserve">Art. 15. Contribuinte é qualquer pessoa, física ou jurídica, que realize, com habitualidade ou em volume que caracterize intuito comercial, operação de circulação de mercadoria ou prestação de </w:t>
      </w:r>
      <w:proofErr w:type="gramStart"/>
      <w:r w:rsidR="00DF1DB1" w:rsidRPr="0038079D">
        <w:rPr>
          <w:rFonts w:ascii="Times New Roman" w:hAnsi="Times New Roman" w:cs="Times New Roman"/>
          <w:i/>
        </w:rPr>
        <w:t>serviços descritas</w:t>
      </w:r>
      <w:proofErr w:type="gramEnd"/>
      <w:r w:rsidR="00DF1DB1" w:rsidRPr="0038079D">
        <w:rPr>
          <w:rFonts w:ascii="Times New Roman" w:hAnsi="Times New Roman" w:cs="Times New Roman"/>
          <w:i/>
        </w:rPr>
        <w:t xml:space="preserve"> como fato gerador do imposto, observado o disposto no § 2.º deste artigo.</w:t>
      </w:r>
    </w:p>
    <w:p w:rsidR="0038079D" w:rsidRPr="0038079D" w:rsidRDefault="0038079D" w:rsidP="008F6734">
      <w:pPr>
        <w:spacing w:line="360" w:lineRule="auto"/>
        <w:ind w:right="142"/>
        <w:jc w:val="both"/>
        <w:rPr>
          <w:rFonts w:ascii="Times New Roman" w:hAnsi="Times New Roman" w:cs="Times New Roman"/>
          <w:i/>
        </w:rPr>
      </w:pPr>
      <w:r w:rsidRPr="0038079D">
        <w:rPr>
          <w:rFonts w:ascii="Times New Roman" w:hAnsi="Times New Roman" w:cs="Times New Roman"/>
          <w:i/>
        </w:rPr>
        <w:tab/>
        <w:t>§ 1.º Incluem-se entre os contribuintes do imposto:</w:t>
      </w:r>
    </w:p>
    <w:p w:rsidR="00DF1DB1" w:rsidRPr="0038079D" w:rsidRDefault="00DF1DB1" w:rsidP="008F6734">
      <w:pPr>
        <w:spacing w:line="360" w:lineRule="auto"/>
        <w:ind w:right="142"/>
        <w:jc w:val="both"/>
        <w:rPr>
          <w:rFonts w:ascii="Times New Roman" w:hAnsi="Times New Roman" w:cs="Times New Roman"/>
          <w:i/>
        </w:rPr>
      </w:pPr>
      <w:r w:rsidRPr="0038079D">
        <w:rPr>
          <w:rFonts w:ascii="Times New Roman" w:hAnsi="Times New Roman" w:cs="Times New Roman"/>
          <w:i/>
        </w:rPr>
        <w:tab/>
      </w:r>
      <w:proofErr w:type="gramStart"/>
      <w:r w:rsidRPr="0038079D">
        <w:rPr>
          <w:rFonts w:ascii="Times New Roman" w:hAnsi="Times New Roman" w:cs="Times New Roman"/>
          <w:i/>
        </w:rPr>
        <w:t>..................................</w:t>
      </w:r>
      <w:proofErr w:type="gramEnd"/>
      <w:r w:rsidRPr="0038079D">
        <w:rPr>
          <w:rFonts w:ascii="Times New Roman" w:hAnsi="Times New Roman" w:cs="Times New Roman"/>
          <w:i/>
        </w:rPr>
        <w:t>;</w:t>
      </w:r>
    </w:p>
    <w:p w:rsidR="00DF1DB1" w:rsidRDefault="00DF1DB1" w:rsidP="008F6734">
      <w:pPr>
        <w:spacing w:line="360" w:lineRule="auto"/>
        <w:ind w:right="142"/>
        <w:jc w:val="both"/>
        <w:rPr>
          <w:rFonts w:ascii="Times New Roman" w:hAnsi="Times New Roman" w:cs="Times New Roman"/>
        </w:rPr>
      </w:pPr>
      <w:r w:rsidRPr="0038079D">
        <w:rPr>
          <w:rFonts w:ascii="Times New Roman" w:hAnsi="Times New Roman" w:cs="Times New Roman"/>
          <w:i/>
        </w:rPr>
        <w:tab/>
      </w:r>
      <w:proofErr w:type="gramStart"/>
      <w:r w:rsidRPr="0038079D">
        <w:rPr>
          <w:rFonts w:ascii="Times New Roman" w:hAnsi="Times New Roman" w:cs="Times New Roman"/>
          <w:i/>
        </w:rPr>
        <w:t xml:space="preserve">XIII - a sociedade civil de fim não econômico que explore estabelecimento de extração de substância mineral ou fóssil, de produção agropecuária, industrial </w:t>
      </w:r>
      <w:r w:rsidRPr="00DA2CD6">
        <w:rPr>
          <w:rFonts w:ascii="Times New Roman" w:hAnsi="Times New Roman" w:cs="Times New Roman"/>
          <w:b/>
          <w:i/>
        </w:rPr>
        <w:t>ou que comercialize mercadorias que para esse fim adquira ou produza;</w:t>
      </w:r>
      <w:r w:rsidR="0038079D">
        <w:rPr>
          <w:rFonts w:ascii="Times New Roman" w:hAnsi="Times New Roman" w:cs="Times New Roman"/>
        </w:rPr>
        <w:t>”</w:t>
      </w:r>
      <w:proofErr w:type="gramEnd"/>
      <w:r w:rsidR="0038079D">
        <w:rPr>
          <w:rFonts w:ascii="Times New Roman" w:hAnsi="Times New Roman" w:cs="Times New Roman"/>
        </w:rPr>
        <w:t>.</w:t>
      </w:r>
    </w:p>
    <w:p w:rsidR="00DA2CD6" w:rsidRDefault="00DA2CD6" w:rsidP="008F6734">
      <w:pPr>
        <w:spacing w:line="360" w:lineRule="auto"/>
        <w:ind w:right="142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 xml:space="preserve">`A luz do citado dispositivo legal, </w:t>
      </w:r>
      <w:r w:rsidR="00CB0822">
        <w:rPr>
          <w:rFonts w:ascii="Times New Roman" w:hAnsi="Times New Roman" w:cs="Times New Roman"/>
        </w:rPr>
        <w:t xml:space="preserve">considerando a atividade descrita pela consulente, </w:t>
      </w:r>
      <w:r w:rsidR="00C879EE">
        <w:rPr>
          <w:rFonts w:ascii="Times New Roman" w:hAnsi="Times New Roman" w:cs="Times New Roman"/>
        </w:rPr>
        <w:t>e conforme consta em seu Estatuto Social</w:t>
      </w:r>
      <w:r w:rsidR="000A5CEA">
        <w:rPr>
          <w:rFonts w:ascii="Times New Roman" w:hAnsi="Times New Roman" w:cs="Times New Roman"/>
        </w:rPr>
        <w:t xml:space="preserve"> </w:t>
      </w:r>
      <w:r w:rsidR="000A5CEA">
        <w:rPr>
          <w:rFonts w:ascii="Times New Roman" w:hAnsi="Times New Roman" w:cs="Times New Roman"/>
          <w:lang w:eastAsia="pt-BR"/>
        </w:rPr>
        <w:t>(fls. 49/69)</w:t>
      </w:r>
      <w:r w:rsidR="000A5CEA">
        <w:rPr>
          <w:rFonts w:ascii="Times New Roman" w:hAnsi="Times New Roman" w:cs="Times New Roman"/>
        </w:rPr>
        <w:t xml:space="preserve">, </w:t>
      </w:r>
      <w:r w:rsidR="00C879EE">
        <w:rPr>
          <w:rFonts w:ascii="Times New Roman" w:hAnsi="Times New Roman" w:cs="Times New Roman"/>
        </w:rPr>
        <w:t xml:space="preserve">a distribuição de equipamentos para pessoas físicas específicas, </w:t>
      </w:r>
      <w:proofErr w:type="gramStart"/>
      <w:r w:rsidR="00C879EE">
        <w:rPr>
          <w:rFonts w:ascii="Times New Roman" w:hAnsi="Times New Roman" w:cs="Times New Roman"/>
        </w:rPr>
        <w:t>à</w:t>
      </w:r>
      <w:proofErr w:type="gramEnd"/>
      <w:r w:rsidR="00C879EE">
        <w:rPr>
          <w:rFonts w:ascii="Times New Roman" w:hAnsi="Times New Roman" w:cs="Times New Roman"/>
        </w:rPr>
        <w:t xml:space="preserve"> título gratuito, em cumprimento a obrigação estabelecida por </w:t>
      </w:r>
      <w:r w:rsidR="000A5CEA">
        <w:rPr>
          <w:rFonts w:ascii="Times New Roman" w:hAnsi="Times New Roman" w:cs="Times New Roman"/>
        </w:rPr>
        <w:t>a</w:t>
      </w:r>
      <w:r w:rsidR="00C879EE">
        <w:rPr>
          <w:rFonts w:ascii="Times New Roman" w:hAnsi="Times New Roman" w:cs="Times New Roman"/>
        </w:rPr>
        <w:t xml:space="preserve">gência </w:t>
      </w:r>
      <w:r w:rsidR="000A5CEA">
        <w:rPr>
          <w:rFonts w:ascii="Times New Roman" w:hAnsi="Times New Roman" w:cs="Times New Roman"/>
        </w:rPr>
        <w:t>r</w:t>
      </w:r>
      <w:r w:rsidR="00C879EE">
        <w:rPr>
          <w:rFonts w:ascii="Times New Roman" w:hAnsi="Times New Roman" w:cs="Times New Roman"/>
        </w:rPr>
        <w:t xml:space="preserve">eguladora federal, nos termos de Edital de Licitação, </w:t>
      </w:r>
      <w:r w:rsidR="000A5CEA">
        <w:rPr>
          <w:rFonts w:ascii="Times New Roman" w:hAnsi="Times New Roman" w:cs="Times New Roman"/>
        </w:rPr>
        <w:t xml:space="preserve">está fora do campo de incidência do ICMS, e, portanto, </w:t>
      </w:r>
      <w:r w:rsidR="00C879EE">
        <w:rPr>
          <w:rFonts w:ascii="Times New Roman" w:hAnsi="Times New Roman" w:cs="Times New Roman"/>
        </w:rPr>
        <w:t xml:space="preserve">não conduz a </w:t>
      </w:r>
      <w:r w:rsidR="00C879EE">
        <w:rPr>
          <w:rFonts w:ascii="Times New Roman" w:hAnsi="Times New Roman"/>
        </w:rPr>
        <w:t>EAD à condição de contribuinte do ICMS.</w:t>
      </w:r>
    </w:p>
    <w:p w:rsidR="00666F06" w:rsidRDefault="00786DCA" w:rsidP="00B37231">
      <w:pPr>
        <w:spacing w:line="360" w:lineRule="auto"/>
        <w:ind w:righ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="00C879EE">
        <w:rPr>
          <w:rFonts w:ascii="Times New Roman" w:hAnsi="Times New Roman"/>
        </w:rPr>
        <w:t>2</w:t>
      </w:r>
      <w:proofErr w:type="gramEnd"/>
      <w:r w:rsidR="00C879EE">
        <w:rPr>
          <w:rFonts w:ascii="Times New Roman" w:hAnsi="Times New Roman"/>
        </w:rPr>
        <w:t>) N</w:t>
      </w:r>
      <w:r w:rsidR="00666F06">
        <w:rPr>
          <w:rFonts w:ascii="Times New Roman" w:hAnsi="Times New Roman"/>
        </w:rPr>
        <w:t>ão</w:t>
      </w:r>
      <w:r w:rsidR="00DC72FB">
        <w:rPr>
          <w:rFonts w:ascii="Times New Roman" w:hAnsi="Times New Roman"/>
        </w:rPr>
        <w:t>, observada a resposta seguinte</w:t>
      </w:r>
      <w:r w:rsidR="00666F06">
        <w:rPr>
          <w:rFonts w:ascii="Times New Roman" w:hAnsi="Times New Roman"/>
        </w:rPr>
        <w:t>.</w:t>
      </w:r>
    </w:p>
    <w:p w:rsidR="000D0439" w:rsidRDefault="00666F06" w:rsidP="00B37231">
      <w:pPr>
        <w:spacing w:line="360" w:lineRule="auto"/>
        <w:ind w:righ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proofErr w:type="gramStart"/>
      <w:r>
        <w:rPr>
          <w:rFonts w:ascii="Times New Roman" w:hAnsi="Times New Roman"/>
        </w:rPr>
        <w:t>3</w:t>
      </w:r>
      <w:proofErr w:type="gramEnd"/>
      <w:r>
        <w:rPr>
          <w:rFonts w:ascii="Times New Roman" w:hAnsi="Times New Roman"/>
        </w:rPr>
        <w:t xml:space="preserve">) </w:t>
      </w:r>
      <w:r w:rsidR="00C879EE">
        <w:rPr>
          <w:rFonts w:ascii="Times New Roman" w:hAnsi="Times New Roman"/>
        </w:rPr>
        <w:t xml:space="preserve">Embora </w:t>
      </w:r>
      <w:r w:rsidR="00B37231">
        <w:rPr>
          <w:rFonts w:ascii="Times New Roman" w:hAnsi="Times New Roman"/>
        </w:rPr>
        <w:t>NÃO</w:t>
      </w:r>
      <w:r w:rsidR="00C879EE">
        <w:rPr>
          <w:rFonts w:ascii="Times New Roman" w:hAnsi="Times New Roman"/>
        </w:rPr>
        <w:t xml:space="preserve"> realiza atividade descrita como fato gerador do ICMS, a consulente promove a circulação de mercadoria</w:t>
      </w:r>
      <w:r w:rsidR="00B37231">
        <w:rPr>
          <w:rFonts w:ascii="Times New Roman" w:hAnsi="Times New Roman"/>
        </w:rPr>
        <w:t>s</w:t>
      </w:r>
      <w:r w:rsidR="00C879EE">
        <w:rPr>
          <w:rFonts w:ascii="Times New Roman" w:hAnsi="Times New Roman"/>
        </w:rPr>
        <w:t xml:space="preserve">.  Assim sendo, </w:t>
      </w:r>
      <w:r w:rsidR="0065531B">
        <w:rPr>
          <w:rFonts w:ascii="Times New Roman" w:hAnsi="Times New Roman"/>
        </w:rPr>
        <w:t>a remessa dos equipamentos do “Estabelecimento 01”</w:t>
      </w:r>
      <w:r>
        <w:rPr>
          <w:rFonts w:ascii="Times New Roman" w:hAnsi="Times New Roman"/>
        </w:rPr>
        <w:t xml:space="preserve">, certamente em volume significativo, </w:t>
      </w:r>
      <w:r w:rsidR="0065531B">
        <w:rPr>
          <w:rFonts w:ascii="Times New Roman" w:hAnsi="Times New Roman"/>
        </w:rPr>
        <w:t>p</w:t>
      </w:r>
      <w:r w:rsidR="000A5CEA">
        <w:rPr>
          <w:rFonts w:ascii="Times New Roman" w:hAnsi="Times New Roman"/>
        </w:rPr>
        <w:t>a</w:t>
      </w:r>
      <w:r w:rsidR="0065531B">
        <w:rPr>
          <w:rFonts w:ascii="Times New Roman" w:hAnsi="Times New Roman"/>
        </w:rPr>
        <w:t xml:space="preserve">ra os </w:t>
      </w:r>
      <w:r w:rsidR="0065531B">
        <w:rPr>
          <w:rFonts w:ascii="Times New Roman" w:hAnsi="Times New Roman" w:cs="Times New Roman"/>
          <w:lang w:eastAsia="pt-BR"/>
        </w:rPr>
        <w:t xml:space="preserve">Pontos de Retirada dos Equipamentos (“PDR”), </w:t>
      </w:r>
      <w:r w:rsidR="008F6734">
        <w:rPr>
          <w:rFonts w:ascii="Times New Roman" w:hAnsi="Times New Roman"/>
        </w:rPr>
        <w:t>precis</w:t>
      </w:r>
      <w:r w:rsidR="0065531B">
        <w:rPr>
          <w:rFonts w:ascii="Times New Roman" w:hAnsi="Times New Roman"/>
        </w:rPr>
        <w:t xml:space="preserve">a ser acompanhada de </w:t>
      </w:r>
      <w:r w:rsidR="007E3908">
        <w:rPr>
          <w:rFonts w:ascii="Times New Roman" w:hAnsi="Times New Roman"/>
        </w:rPr>
        <w:t>documento com formalidade</w:t>
      </w:r>
      <w:r w:rsidR="008F6734">
        <w:rPr>
          <w:rFonts w:ascii="Times New Roman" w:hAnsi="Times New Roman"/>
        </w:rPr>
        <w:t>s</w:t>
      </w:r>
      <w:r w:rsidR="007E3908">
        <w:rPr>
          <w:rFonts w:ascii="Times New Roman" w:hAnsi="Times New Roman"/>
        </w:rPr>
        <w:t xml:space="preserve"> que permita a perfeita identificação da origem, destino e a circunstância </w:t>
      </w:r>
      <w:r w:rsidR="0065531B">
        <w:rPr>
          <w:rFonts w:ascii="Times New Roman" w:hAnsi="Times New Roman"/>
        </w:rPr>
        <w:t xml:space="preserve">de </w:t>
      </w:r>
      <w:r w:rsidR="007E3908">
        <w:rPr>
          <w:rFonts w:ascii="Times New Roman" w:hAnsi="Times New Roman"/>
        </w:rPr>
        <w:t>que a operação está fora do campo de incidência do ICMS.</w:t>
      </w:r>
      <w:r w:rsidR="00585AFA">
        <w:rPr>
          <w:rFonts w:ascii="Times New Roman" w:hAnsi="Times New Roman"/>
        </w:rPr>
        <w:t xml:space="preserve">  </w:t>
      </w:r>
      <w:r w:rsidR="0065531B">
        <w:rPr>
          <w:rFonts w:ascii="Times New Roman" w:hAnsi="Times New Roman"/>
        </w:rPr>
        <w:t xml:space="preserve">Por </w:t>
      </w:r>
      <w:r w:rsidR="0065531B" w:rsidRPr="0065531B">
        <w:rPr>
          <w:rFonts w:ascii="Times New Roman" w:hAnsi="Times New Roman"/>
        </w:rPr>
        <w:t>ser</w:t>
      </w:r>
      <w:r w:rsidR="0065531B">
        <w:rPr>
          <w:rFonts w:ascii="Times New Roman" w:hAnsi="Times New Roman"/>
        </w:rPr>
        <w:t xml:space="preserve"> </w:t>
      </w:r>
      <w:r w:rsidR="0065531B" w:rsidRPr="0065531B">
        <w:rPr>
          <w:rFonts w:ascii="Times New Roman" w:hAnsi="Times New Roman"/>
        </w:rPr>
        <w:t>emitida na página da Secretaria de Estado de Fazenda, na Internet, de acordo com os padrões técnicos previstos para N</w:t>
      </w:r>
      <w:r w:rsidR="0065531B">
        <w:rPr>
          <w:rFonts w:ascii="Times New Roman" w:hAnsi="Times New Roman"/>
        </w:rPr>
        <w:t xml:space="preserve">ota </w:t>
      </w:r>
      <w:r w:rsidR="0065531B" w:rsidRPr="0065531B">
        <w:rPr>
          <w:rFonts w:ascii="Times New Roman" w:hAnsi="Times New Roman"/>
        </w:rPr>
        <w:t>F</w:t>
      </w:r>
      <w:r w:rsidR="0065531B">
        <w:rPr>
          <w:rFonts w:ascii="Times New Roman" w:hAnsi="Times New Roman"/>
        </w:rPr>
        <w:t>iscal Eletrônica</w:t>
      </w:r>
      <w:r w:rsidR="0065531B" w:rsidRPr="0065531B">
        <w:rPr>
          <w:rFonts w:ascii="Times New Roman" w:hAnsi="Times New Roman"/>
        </w:rPr>
        <w:t>, modelo 55,</w:t>
      </w:r>
      <w:r w:rsidR="0065531B">
        <w:rPr>
          <w:rFonts w:ascii="Times New Roman" w:hAnsi="Times New Roman"/>
        </w:rPr>
        <w:t xml:space="preserve"> instituída pelo Ajuste SINIEF 7/05, este documento é </w:t>
      </w:r>
      <w:r>
        <w:rPr>
          <w:rFonts w:ascii="Times New Roman" w:hAnsi="Times New Roman"/>
        </w:rPr>
        <w:t xml:space="preserve">a </w:t>
      </w:r>
      <w:r w:rsidR="00585AFA">
        <w:rPr>
          <w:rFonts w:ascii="Times New Roman" w:hAnsi="Times New Roman"/>
        </w:rPr>
        <w:t>Nota Fiscal Avulsa Eletrônica</w:t>
      </w:r>
      <w:r w:rsidR="008F6734">
        <w:rPr>
          <w:rFonts w:ascii="Times New Roman" w:hAnsi="Times New Roman"/>
        </w:rPr>
        <w:t xml:space="preserve">, </w:t>
      </w:r>
      <w:r w:rsidR="0065531B">
        <w:rPr>
          <w:rFonts w:ascii="Times New Roman" w:hAnsi="Times New Roman"/>
        </w:rPr>
        <w:t xml:space="preserve">cuja emissão está </w:t>
      </w:r>
      <w:r w:rsidR="008F6734">
        <w:rPr>
          <w:rFonts w:ascii="Times New Roman" w:hAnsi="Times New Roman"/>
        </w:rPr>
        <w:t>previst</w:t>
      </w:r>
      <w:r w:rsidR="0065531B">
        <w:rPr>
          <w:rFonts w:ascii="Times New Roman" w:hAnsi="Times New Roman"/>
        </w:rPr>
        <w:t>a</w:t>
      </w:r>
      <w:r w:rsidR="008F6734">
        <w:rPr>
          <w:rFonts w:ascii="Times New Roman" w:hAnsi="Times New Roman"/>
        </w:rPr>
        <w:t xml:space="preserve"> no inciso V do artigo 35 do Anexo I, Livro VI, do Regulamento do ICMS, apro</w:t>
      </w:r>
      <w:r>
        <w:rPr>
          <w:rFonts w:ascii="Times New Roman" w:hAnsi="Times New Roman"/>
        </w:rPr>
        <w:t xml:space="preserve">vado pelo Decreto n.º 27.424/00, e se aplica precisamente ao caso ora em análise. </w:t>
      </w:r>
    </w:p>
    <w:p w:rsidR="00666F06" w:rsidRPr="00EF07B0" w:rsidRDefault="00666F06" w:rsidP="00B37231">
      <w:pPr>
        <w:spacing w:line="360" w:lineRule="auto"/>
        <w:ind w:righ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ab/>
        <w:t xml:space="preserve">Na retirada dos equipamentos </w:t>
      </w:r>
      <w:r w:rsidR="00621F06">
        <w:rPr>
          <w:rFonts w:ascii="Times New Roman" w:hAnsi="Times New Roman"/>
        </w:rPr>
        <w:t xml:space="preserve">necessários pelas </w:t>
      </w:r>
      <w:r>
        <w:rPr>
          <w:rFonts w:ascii="Times New Roman" w:hAnsi="Times New Roman"/>
        </w:rPr>
        <w:t xml:space="preserve">pessoas físicas específicas beneficiárias nos </w:t>
      </w:r>
      <w:r>
        <w:rPr>
          <w:rFonts w:ascii="Times New Roman" w:hAnsi="Times New Roman" w:cs="Times New Roman"/>
          <w:lang w:eastAsia="pt-BR"/>
        </w:rPr>
        <w:t>“</w:t>
      </w:r>
      <w:proofErr w:type="spellStart"/>
      <w:r>
        <w:rPr>
          <w:rFonts w:ascii="Times New Roman" w:hAnsi="Times New Roman" w:cs="Times New Roman"/>
          <w:lang w:eastAsia="pt-BR"/>
        </w:rPr>
        <w:t>PDRs</w:t>
      </w:r>
      <w:proofErr w:type="spellEnd"/>
      <w:r>
        <w:rPr>
          <w:rFonts w:ascii="Times New Roman" w:hAnsi="Times New Roman" w:cs="Times New Roman"/>
          <w:lang w:eastAsia="pt-BR"/>
        </w:rPr>
        <w:t>” entendemos dispensável a emissão de documento fiscal.</w:t>
      </w:r>
    </w:p>
    <w:p w:rsidR="001858F7" w:rsidRPr="00EF07B0" w:rsidRDefault="00462AC3" w:rsidP="001858F7">
      <w:pPr>
        <w:spacing w:after="0" w:line="360" w:lineRule="auto"/>
        <w:ind w:right="-852" w:firstLine="709"/>
        <w:jc w:val="center"/>
        <w:rPr>
          <w:rFonts w:ascii="Times New Roman" w:hAnsi="Times New Roman" w:cs="Times New Roman"/>
        </w:rPr>
      </w:pPr>
      <w:r w:rsidRPr="00EF07B0">
        <w:rPr>
          <w:rFonts w:ascii="Times New Roman" w:hAnsi="Times New Roman" w:cs="Times New Roman"/>
        </w:rPr>
        <w:t>CCJT, em</w:t>
      </w:r>
      <w:r w:rsidR="00B37231">
        <w:rPr>
          <w:rFonts w:ascii="Times New Roman" w:hAnsi="Times New Roman" w:cs="Times New Roman"/>
        </w:rPr>
        <w:t xml:space="preserve"> 13 </w:t>
      </w:r>
      <w:r w:rsidR="001858F7" w:rsidRPr="00EF07B0">
        <w:rPr>
          <w:rFonts w:ascii="Times New Roman" w:hAnsi="Times New Roman" w:cs="Times New Roman"/>
        </w:rPr>
        <w:t>de</w:t>
      </w:r>
      <w:r w:rsidR="00B37231">
        <w:rPr>
          <w:rFonts w:ascii="Times New Roman" w:hAnsi="Times New Roman" w:cs="Times New Roman"/>
        </w:rPr>
        <w:t xml:space="preserve"> março </w:t>
      </w:r>
      <w:r w:rsidR="001858F7" w:rsidRPr="00EF07B0">
        <w:rPr>
          <w:rFonts w:ascii="Times New Roman" w:hAnsi="Times New Roman" w:cs="Times New Roman"/>
        </w:rPr>
        <w:t>de 2</w:t>
      </w:r>
      <w:r w:rsidR="003B6D06" w:rsidRPr="00EF07B0">
        <w:rPr>
          <w:rFonts w:ascii="Times New Roman" w:hAnsi="Times New Roman" w:cs="Times New Roman"/>
        </w:rPr>
        <w:t>.</w:t>
      </w:r>
      <w:r w:rsidR="001858F7" w:rsidRPr="00EF07B0">
        <w:rPr>
          <w:rFonts w:ascii="Times New Roman" w:hAnsi="Times New Roman" w:cs="Times New Roman"/>
        </w:rPr>
        <w:t>01</w:t>
      </w:r>
      <w:r w:rsidR="001503A7">
        <w:rPr>
          <w:rFonts w:ascii="Times New Roman" w:hAnsi="Times New Roman" w:cs="Times New Roman"/>
        </w:rPr>
        <w:t>7</w:t>
      </w:r>
      <w:r w:rsidR="003B6D06" w:rsidRPr="00EF07B0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1858F7" w:rsidRPr="00EF07B0" w:rsidSect="00755CD5">
      <w:headerReference w:type="default" r:id="rId9"/>
      <w:pgSz w:w="11906" w:h="16838"/>
      <w:pgMar w:top="1417" w:right="566" w:bottom="1417" w:left="1701" w:header="709" w:footer="709" w:gutter="0"/>
      <w:pgNumType w:start="2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D8" w:rsidRDefault="002436D8" w:rsidP="00546EC0">
      <w:pPr>
        <w:spacing w:after="0" w:line="240" w:lineRule="auto"/>
      </w:pPr>
      <w:r>
        <w:separator/>
      </w:r>
    </w:p>
  </w:endnote>
  <w:endnote w:type="continuationSeparator" w:id="0">
    <w:p w:rsidR="002436D8" w:rsidRDefault="002436D8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D8" w:rsidRDefault="002436D8" w:rsidP="00546EC0">
      <w:pPr>
        <w:spacing w:after="0" w:line="240" w:lineRule="auto"/>
      </w:pPr>
      <w:r>
        <w:separator/>
      </w:r>
    </w:p>
  </w:footnote>
  <w:footnote w:type="continuationSeparator" w:id="0">
    <w:p w:rsidR="002436D8" w:rsidRDefault="002436D8" w:rsidP="0054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807"/>
      <w:gridCol w:w="2983"/>
    </w:tblGrid>
    <w:tr w:rsidR="00555312" w:rsidRPr="002E7B20" w:rsidTr="002D7022">
      <w:trPr>
        <w:cantSplit/>
        <w:trHeight w:val="1180"/>
      </w:trPr>
      <w:tc>
        <w:tcPr>
          <w:tcW w:w="6310" w:type="dxa"/>
        </w:tcPr>
        <w:p w:rsidR="00555312" w:rsidRPr="002E7B20" w:rsidRDefault="00555312" w:rsidP="002D7022">
          <w:pPr>
            <w:pStyle w:val="Cabealho"/>
            <w:spacing w:line="276" w:lineRule="auto"/>
            <w:ind w:left="1276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pt-BR"/>
            </w:rPr>
            <w:drawing>
              <wp:inline distT="0" distB="0" distL="0" distR="0" wp14:anchorId="34C8C88D" wp14:editId="15C292A8">
                <wp:extent cx="914400" cy="895350"/>
                <wp:effectExtent l="0" t="0" r="0" b="0"/>
                <wp:docPr id="1" name="Imagem 1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Governo do Estado do Rio de Janeiro</w:t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Secretaria de Estado de Fazenda</w:t>
          </w:r>
          <w:r w:rsidR="0048713B">
            <w:rPr>
              <w:rFonts w:ascii="Times New Roman" w:hAnsi="Times New Roman"/>
              <w:b/>
              <w:sz w:val="20"/>
            </w:rPr>
            <w:t xml:space="preserve"> e Planejamento</w:t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Superintendência de Tributação</w:t>
          </w:r>
        </w:p>
        <w:p w:rsidR="00555312" w:rsidRPr="002E7B20" w:rsidRDefault="00555312" w:rsidP="00462AC3">
          <w:pPr>
            <w:pStyle w:val="Cabealho"/>
            <w:spacing w:line="276" w:lineRule="auto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Coordenação de Consultas Jurídico-Tributárias</w:t>
          </w:r>
        </w:p>
      </w:tc>
      <w:tc>
        <w:tcPr>
          <w:tcW w:w="2765" w:type="dxa"/>
          <w:hideMark/>
        </w:tcPr>
        <w:tbl>
          <w:tblPr>
            <w:tblpPr w:leftFromText="141" w:rightFromText="141" w:horzAnchor="margin" w:tblpY="501"/>
            <w:tblOverlap w:val="never"/>
            <w:tblW w:w="281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812"/>
          </w:tblGrid>
          <w:tr w:rsidR="00555312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462AC3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2E7B20">
                  <w:rPr>
                    <w:rFonts w:ascii="Times New Roman" w:hAnsi="Times New Roman"/>
                    <w:b/>
                    <w:sz w:val="20"/>
                  </w:rPr>
                  <w:t>Serviço Público Estadual</w:t>
                </w:r>
              </w:p>
            </w:tc>
          </w:tr>
          <w:tr w:rsidR="00555312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990125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>Proc. E-04/</w:t>
                </w:r>
                <w:r w:rsidR="008630FF">
                  <w:rPr>
                    <w:rFonts w:ascii="Times New Roman" w:hAnsi="Times New Roman"/>
                    <w:sz w:val="20"/>
                  </w:rPr>
                  <w:t>0</w:t>
                </w:r>
                <w:r w:rsidR="00990125">
                  <w:rPr>
                    <w:rFonts w:ascii="Times New Roman" w:hAnsi="Times New Roman"/>
                    <w:sz w:val="20"/>
                  </w:rPr>
                  <w:t>79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 w:rsidR="00990125">
                  <w:rPr>
                    <w:rFonts w:ascii="Times New Roman" w:hAnsi="Times New Roman"/>
                    <w:sz w:val="20"/>
                  </w:rPr>
                  <w:t>393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 w:rsidR="00ED337D">
                  <w:rPr>
                    <w:rFonts w:ascii="Times New Roman" w:hAnsi="Times New Roman"/>
                    <w:sz w:val="20"/>
                  </w:rPr>
                  <w:t>/</w:t>
                </w:r>
                <w:r w:rsidR="001819B0">
                  <w:rPr>
                    <w:rFonts w:ascii="Times New Roman" w:hAnsi="Times New Roman"/>
                    <w:sz w:val="20"/>
                  </w:rPr>
                  <w:t>20</w:t>
                </w:r>
                <w:r w:rsidR="00990125">
                  <w:rPr>
                    <w:rFonts w:ascii="Times New Roman" w:hAnsi="Times New Roman"/>
                    <w:sz w:val="20"/>
                  </w:rPr>
                  <w:t>17</w:t>
                </w:r>
              </w:p>
            </w:tc>
          </w:tr>
          <w:tr w:rsidR="00555312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990125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 xml:space="preserve">Data: </w:t>
                </w:r>
                <w:r w:rsidR="00990125">
                  <w:rPr>
                    <w:rFonts w:ascii="Times New Roman" w:hAnsi="Times New Roman"/>
                    <w:sz w:val="20"/>
                  </w:rPr>
                  <w:t>13</w:t>
                </w:r>
                <w:r>
                  <w:rPr>
                    <w:rFonts w:ascii="Times New Roman" w:hAnsi="Times New Roman"/>
                    <w:sz w:val="20"/>
                  </w:rPr>
                  <w:t>/</w:t>
                </w:r>
                <w:r w:rsidR="008630FF">
                  <w:rPr>
                    <w:rFonts w:ascii="Times New Roman" w:hAnsi="Times New Roman"/>
                    <w:sz w:val="20"/>
                  </w:rPr>
                  <w:t>0</w:t>
                </w:r>
                <w:r w:rsidR="00990125">
                  <w:rPr>
                    <w:rFonts w:ascii="Times New Roman" w:hAnsi="Times New Roman"/>
                    <w:sz w:val="20"/>
                  </w:rPr>
                  <w:t>2</w:t>
                </w:r>
                <w:r>
                  <w:rPr>
                    <w:rFonts w:ascii="Times New Roman" w:hAnsi="Times New Roman"/>
                    <w:sz w:val="20"/>
                  </w:rPr>
                  <w:t>/</w:t>
                </w:r>
                <w:r w:rsidR="00990125">
                  <w:rPr>
                    <w:rFonts w:ascii="Times New Roman" w:hAnsi="Times New Roman"/>
                    <w:sz w:val="20"/>
                  </w:rPr>
                  <w:t>17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–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Fls</w:t>
                </w:r>
                <w:r>
                  <w:rPr>
                    <w:rFonts w:ascii="Times New Roman" w:hAnsi="Times New Roman"/>
                    <w:sz w:val="20"/>
                  </w:rPr>
                  <w:t>.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: </w:t>
                </w:r>
                <w:r w:rsidR="007C4407" w:rsidRPr="00462AC3">
                  <w:rPr>
                    <w:rFonts w:ascii="Times New Roman" w:hAnsi="Times New Roman"/>
                    <w:sz w:val="20"/>
                  </w:rPr>
                  <w:fldChar w:fldCharType="begin"/>
                </w:r>
                <w:r w:rsidRPr="00462AC3">
                  <w:rPr>
                    <w:rFonts w:ascii="Times New Roman" w:hAnsi="Times New Roman"/>
                    <w:sz w:val="20"/>
                  </w:rPr>
                  <w:instrText>PAGE   \* MERGEFORMAT</w:instrText>
                </w:r>
                <w:r w:rsidR="007C4407" w:rsidRPr="00462AC3">
                  <w:rPr>
                    <w:rFonts w:ascii="Times New Roman" w:hAnsi="Times New Roman"/>
                    <w:sz w:val="20"/>
                  </w:rPr>
                  <w:fldChar w:fldCharType="separate"/>
                </w:r>
                <w:r w:rsidR="00755CD5">
                  <w:rPr>
                    <w:rFonts w:ascii="Times New Roman" w:hAnsi="Times New Roman"/>
                    <w:noProof/>
                    <w:sz w:val="20"/>
                  </w:rPr>
                  <w:t>273</w:t>
                </w:r>
                <w:r w:rsidR="007C4407" w:rsidRPr="00462AC3">
                  <w:rPr>
                    <w:rFonts w:ascii="Times New Roman" w:hAnsi="Times New Roman"/>
                    <w:sz w:val="20"/>
                  </w:rPr>
                  <w:fldChar w:fldCharType="end"/>
                </w:r>
              </w:p>
            </w:tc>
          </w:tr>
          <w:tr w:rsidR="00555312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hideMark/>
              </w:tcPr>
              <w:p w:rsidR="00555312" w:rsidRPr="00462AC3" w:rsidRDefault="00555312" w:rsidP="0035322A">
                <w:pPr>
                  <w:pStyle w:val="Cabealho"/>
                  <w:spacing w:line="276" w:lineRule="auto"/>
                  <w:ind w:right="72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542EA5">
                  <w:rPr>
                    <w:rFonts w:ascii="Times New Roman" w:hAnsi="Times New Roman" w:cs="Times New Roman"/>
                    <w:sz w:val="18"/>
                    <w:szCs w:val="18"/>
                  </w:rPr>
                  <w:t>ID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1938903-5                 </w:t>
                </w:r>
              </w:p>
            </w:tc>
          </w:tr>
        </w:tbl>
        <w:p w:rsidR="00555312" w:rsidRPr="002E7B20" w:rsidRDefault="00555312" w:rsidP="002D7022">
          <w:pPr>
            <w:pStyle w:val="Cabealho"/>
            <w:spacing w:line="276" w:lineRule="auto"/>
            <w:ind w:right="-70"/>
            <w:jc w:val="center"/>
            <w:rPr>
              <w:rFonts w:ascii="Times New Roman" w:hAnsi="Times New Roman"/>
              <w:b/>
              <w:sz w:val="20"/>
            </w:rPr>
          </w:pPr>
        </w:p>
      </w:tc>
    </w:tr>
  </w:tbl>
  <w:p w:rsidR="00555312" w:rsidRPr="00462AC3" w:rsidRDefault="00555312" w:rsidP="00462AC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EC0"/>
    <w:rsid w:val="00000407"/>
    <w:rsid w:val="000016C8"/>
    <w:rsid w:val="00003919"/>
    <w:rsid w:val="000055B0"/>
    <w:rsid w:val="00015A80"/>
    <w:rsid w:val="00017FAA"/>
    <w:rsid w:val="0002389A"/>
    <w:rsid w:val="00024105"/>
    <w:rsid w:val="000275BD"/>
    <w:rsid w:val="0003098F"/>
    <w:rsid w:val="0003303D"/>
    <w:rsid w:val="000377D8"/>
    <w:rsid w:val="000503D1"/>
    <w:rsid w:val="00074B43"/>
    <w:rsid w:val="0008336D"/>
    <w:rsid w:val="00084D3B"/>
    <w:rsid w:val="00086369"/>
    <w:rsid w:val="000A2B43"/>
    <w:rsid w:val="000A5CEA"/>
    <w:rsid w:val="000C2877"/>
    <w:rsid w:val="000D0439"/>
    <w:rsid w:val="000D6F55"/>
    <w:rsid w:val="000E6D09"/>
    <w:rsid w:val="000F30B1"/>
    <w:rsid w:val="000F63EE"/>
    <w:rsid w:val="00100B3B"/>
    <w:rsid w:val="00105D34"/>
    <w:rsid w:val="00111C59"/>
    <w:rsid w:val="001126BB"/>
    <w:rsid w:val="00120539"/>
    <w:rsid w:val="001214F5"/>
    <w:rsid w:val="00121FC1"/>
    <w:rsid w:val="001233D6"/>
    <w:rsid w:val="00131254"/>
    <w:rsid w:val="001376CF"/>
    <w:rsid w:val="00143D6A"/>
    <w:rsid w:val="0014427E"/>
    <w:rsid w:val="0014555C"/>
    <w:rsid w:val="001503A7"/>
    <w:rsid w:val="00157300"/>
    <w:rsid w:val="00163A2D"/>
    <w:rsid w:val="00166FDB"/>
    <w:rsid w:val="001760E5"/>
    <w:rsid w:val="001819B0"/>
    <w:rsid w:val="001831C9"/>
    <w:rsid w:val="001858F7"/>
    <w:rsid w:val="001A620E"/>
    <w:rsid w:val="001B1B35"/>
    <w:rsid w:val="001C7B3E"/>
    <w:rsid w:val="001D4967"/>
    <w:rsid w:val="001E13FA"/>
    <w:rsid w:val="001E4F56"/>
    <w:rsid w:val="001F309B"/>
    <w:rsid w:val="001F3F43"/>
    <w:rsid w:val="001F7132"/>
    <w:rsid w:val="00202CC7"/>
    <w:rsid w:val="00205092"/>
    <w:rsid w:val="00207272"/>
    <w:rsid w:val="00210225"/>
    <w:rsid w:val="00211A66"/>
    <w:rsid w:val="002124DC"/>
    <w:rsid w:val="00235276"/>
    <w:rsid w:val="002436D8"/>
    <w:rsid w:val="002457B4"/>
    <w:rsid w:val="00247144"/>
    <w:rsid w:val="00251988"/>
    <w:rsid w:val="00253080"/>
    <w:rsid w:val="002601A9"/>
    <w:rsid w:val="00265632"/>
    <w:rsid w:val="00267F7D"/>
    <w:rsid w:val="002712D7"/>
    <w:rsid w:val="00272BF0"/>
    <w:rsid w:val="002830AD"/>
    <w:rsid w:val="0028490E"/>
    <w:rsid w:val="00286428"/>
    <w:rsid w:val="0029309F"/>
    <w:rsid w:val="00296DAB"/>
    <w:rsid w:val="002A15B6"/>
    <w:rsid w:val="002A3BD8"/>
    <w:rsid w:val="002B25A7"/>
    <w:rsid w:val="002E38C5"/>
    <w:rsid w:val="002F0940"/>
    <w:rsid w:val="002F5AAC"/>
    <w:rsid w:val="00300997"/>
    <w:rsid w:val="00320D23"/>
    <w:rsid w:val="003269EC"/>
    <w:rsid w:val="00332FDF"/>
    <w:rsid w:val="003453A9"/>
    <w:rsid w:val="0035322A"/>
    <w:rsid w:val="003549CF"/>
    <w:rsid w:val="00355B36"/>
    <w:rsid w:val="00360C1E"/>
    <w:rsid w:val="00363495"/>
    <w:rsid w:val="00363D83"/>
    <w:rsid w:val="0036656D"/>
    <w:rsid w:val="00370985"/>
    <w:rsid w:val="0038079D"/>
    <w:rsid w:val="003A4E9A"/>
    <w:rsid w:val="003B454E"/>
    <w:rsid w:val="003B563D"/>
    <w:rsid w:val="003B6D06"/>
    <w:rsid w:val="003C3FF2"/>
    <w:rsid w:val="003C7802"/>
    <w:rsid w:val="003C7CA1"/>
    <w:rsid w:val="003D04E0"/>
    <w:rsid w:val="003D55C0"/>
    <w:rsid w:val="003D672A"/>
    <w:rsid w:val="003D695C"/>
    <w:rsid w:val="003E2C18"/>
    <w:rsid w:val="003E5502"/>
    <w:rsid w:val="003E5ED9"/>
    <w:rsid w:val="003F554A"/>
    <w:rsid w:val="004031DC"/>
    <w:rsid w:val="00411549"/>
    <w:rsid w:val="004168C5"/>
    <w:rsid w:val="004174DA"/>
    <w:rsid w:val="00421C93"/>
    <w:rsid w:val="00423EF2"/>
    <w:rsid w:val="004241D0"/>
    <w:rsid w:val="00455FAC"/>
    <w:rsid w:val="004615B9"/>
    <w:rsid w:val="00462AC3"/>
    <w:rsid w:val="004729F7"/>
    <w:rsid w:val="00473E16"/>
    <w:rsid w:val="00476799"/>
    <w:rsid w:val="00480304"/>
    <w:rsid w:val="00481E33"/>
    <w:rsid w:val="00481F61"/>
    <w:rsid w:val="004825A8"/>
    <w:rsid w:val="00482C57"/>
    <w:rsid w:val="00483017"/>
    <w:rsid w:val="0048713B"/>
    <w:rsid w:val="00493457"/>
    <w:rsid w:val="00493AE4"/>
    <w:rsid w:val="004978EC"/>
    <w:rsid w:val="004A02C8"/>
    <w:rsid w:val="004B21F3"/>
    <w:rsid w:val="004B6E4E"/>
    <w:rsid w:val="004C1EB5"/>
    <w:rsid w:val="004C4831"/>
    <w:rsid w:val="004D3BD9"/>
    <w:rsid w:val="004D5BAE"/>
    <w:rsid w:val="004E2759"/>
    <w:rsid w:val="005220FC"/>
    <w:rsid w:val="005333BB"/>
    <w:rsid w:val="005407B2"/>
    <w:rsid w:val="00540E46"/>
    <w:rsid w:val="00542EA5"/>
    <w:rsid w:val="00546EC0"/>
    <w:rsid w:val="00555312"/>
    <w:rsid w:val="005553F6"/>
    <w:rsid w:val="005578E8"/>
    <w:rsid w:val="005707CA"/>
    <w:rsid w:val="00570DA4"/>
    <w:rsid w:val="00582102"/>
    <w:rsid w:val="00584587"/>
    <w:rsid w:val="005853FD"/>
    <w:rsid w:val="00585AFA"/>
    <w:rsid w:val="005860DD"/>
    <w:rsid w:val="00586A11"/>
    <w:rsid w:val="005A37D1"/>
    <w:rsid w:val="005A6F87"/>
    <w:rsid w:val="005B395F"/>
    <w:rsid w:val="005C5FC9"/>
    <w:rsid w:val="005D2324"/>
    <w:rsid w:val="005D577F"/>
    <w:rsid w:val="005E14DA"/>
    <w:rsid w:val="005E1DC4"/>
    <w:rsid w:val="005E7A38"/>
    <w:rsid w:val="005E7C65"/>
    <w:rsid w:val="005F26B5"/>
    <w:rsid w:val="005F289B"/>
    <w:rsid w:val="005F47B6"/>
    <w:rsid w:val="005F55C3"/>
    <w:rsid w:val="00602B62"/>
    <w:rsid w:val="00610064"/>
    <w:rsid w:val="006134FF"/>
    <w:rsid w:val="00621F06"/>
    <w:rsid w:val="00622BB0"/>
    <w:rsid w:val="00636F62"/>
    <w:rsid w:val="006524C8"/>
    <w:rsid w:val="0065393E"/>
    <w:rsid w:val="00654C1A"/>
    <w:rsid w:val="0065531B"/>
    <w:rsid w:val="006637B6"/>
    <w:rsid w:val="00663EF4"/>
    <w:rsid w:val="00666F06"/>
    <w:rsid w:val="0066751B"/>
    <w:rsid w:val="00675382"/>
    <w:rsid w:val="006A2586"/>
    <w:rsid w:val="006A270F"/>
    <w:rsid w:val="006E73A4"/>
    <w:rsid w:val="006F06F0"/>
    <w:rsid w:val="006F475A"/>
    <w:rsid w:val="006F743F"/>
    <w:rsid w:val="006F7509"/>
    <w:rsid w:val="007054DA"/>
    <w:rsid w:val="0071097A"/>
    <w:rsid w:val="0074027D"/>
    <w:rsid w:val="00740580"/>
    <w:rsid w:val="0074739C"/>
    <w:rsid w:val="00747E59"/>
    <w:rsid w:val="0075364B"/>
    <w:rsid w:val="00755CD5"/>
    <w:rsid w:val="007637EC"/>
    <w:rsid w:val="00773AC1"/>
    <w:rsid w:val="0077465F"/>
    <w:rsid w:val="00784FE7"/>
    <w:rsid w:val="00786DCA"/>
    <w:rsid w:val="007A3336"/>
    <w:rsid w:val="007B09EA"/>
    <w:rsid w:val="007C4407"/>
    <w:rsid w:val="007D2A1D"/>
    <w:rsid w:val="007E33A3"/>
    <w:rsid w:val="007E3908"/>
    <w:rsid w:val="00800B00"/>
    <w:rsid w:val="00801B35"/>
    <w:rsid w:val="00803F80"/>
    <w:rsid w:val="00805A34"/>
    <w:rsid w:val="00810178"/>
    <w:rsid w:val="00820383"/>
    <w:rsid w:val="00825D6E"/>
    <w:rsid w:val="00832990"/>
    <w:rsid w:val="008345E7"/>
    <w:rsid w:val="00840313"/>
    <w:rsid w:val="00841C19"/>
    <w:rsid w:val="00844E38"/>
    <w:rsid w:val="0085047E"/>
    <w:rsid w:val="008630FF"/>
    <w:rsid w:val="0089032B"/>
    <w:rsid w:val="00891A63"/>
    <w:rsid w:val="0089409A"/>
    <w:rsid w:val="008962DF"/>
    <w:rsid w:val="008A4FFF"/>
    <w:rsid w:val="008A6974"/>
    <w:rsid w:val="008B1870"/>
    <w:rsid w:val="008B2817"/>
    <w:rsid w:val="008B55D2"/>
    <w:rsid w:val="008B5BBE"/>
    <w:rsid w:val="008C0608"/>
    <w:rsid w:val="008D4306"/>
    <w:rsid w:val="008E414C"/>
    <w:rsid w:val="008F3D1E"/>
    <w:rsid w:val="008F50F7"/>
    <w:rsid w:val="008F6734"/>
    <w:rsid w:val="008F716D"/>
    <w:rsid w:val="0090150B"/>
    <w:rsid w:val="0093290E"/>
    <w:rsid w:val="00934E4E"/>
    <w:rsid w:val="00951E1D"/>
    <w:rsid w:val="00961ABE"/>
    <w:rsid w:val="0097135A"/>
    <w:rsid w:val="009826E8"/>
    <w:rsid w:val="00986F8A"/>
    <w:rsid w:val="00987CE9"/>
    <w:rsid w:val="00990125"/>
    <w:rsid w:val="00992044"/>
    <w:rsid w:val="009932FA"/>
    <w:rsid w:val="00994540"/>
    <w:rsid w:val="00995773"/>
    <w:rsid w:val="009A3A11"/>
    <w:rsid w:val="009A4E8D"/>
    <w:rsid w:val="009A65B7"/>
    <w:rsid w:val="009B4AD7"/>
    <w:rsid w:val="009C2B3E"/>
    <w:rsid w:val="009C3177"/>
    <w:rsid w:val="009C4BB0"/>
    <w:rsid w:val="009C52C7"/>
    <w:rsid w:val="009C58A0"/>
    <w:rsid w:val="009C7B57"/>
    <w:rsid w:val="009D0CF6"/>
    <w:rsid w:val="009D1501"/>
    <w:rsid w:val="009E0ABC"/>
    <w:rsid w:val="009E2E6B"/>
    <w:rsid w:val="009E5A48"/>
    <w:rsid w:val="009F3397"/>
    <w:rsid w:val="009F3963"/>
    <w:rsid w:val="009F6AAA"/>
    <w:rsid w:val="009F7DF5"/>
    <w:rsid w:val="00A054C6"/>
    <w:rsid w:val="00A11B88"/>
    <w:rsid w:val="00A14847"/>
    <w:rsid w:val="00A16E0D"/>
    <w:rsid w:val="00A27902"/>
    <w:rsid w:val="00A30CE6"/>
    <w:rsid w:val="00A364D8"/>
    <w:rsid w:val="00A57B5B"/>
    <w:rsid w:val="00A73790"/>
    <w:rsid w:val="00A73B7E"/>
    <w:rsid w:val="00A75A0C"/>
    <w:rsid w:val="00A84A23"/>
    <w:rsid w:val="00AA1D69"/>
    <w:rsid w:val="00AA1E19"/>
    <w:rsid w:val="00AA1F11"/>
    <w:rsid w:val="00AA4AD0"/>
    <w:rsid w:val="00AB6054"/>
    <w:rsid w:val="00AC7301"/>
    <w:rsid w:val="00AD3421"/>
    <w:rsid w:val="00AD363A"/>
    <w:rsid w:val="00AD3B79"/>
    <w:rsid w:val="00AF0B00"/>
    <w:rsid w:val="00B01C13"/>
    <w:rsid w:val="00B023E9"/>
    <w:rsid w:val="00B03715"/>
    <w:rsid w:val="00B05D9A"/>
    <w:rsid w:val="00B17EFE"/>
    <w:rsid w:val="00B23B53"/>
    <w:rsid w:val="00B27C17"/>
    <w:rsid w:val="00B3136F"/>
    <w:rsid w:val="00B37231"/>
    <w:rsid w:val="00B41067"/>
    <w:rsid w:val="00B4298B"/>
    <w:rsid w:val="00B4364F"/>
    <w:rsid w:val="00B44136"/>
    <w:rsid w:val="00B45593"/>
    <w:rsid w:val="00B475FA"/>
    <w:rsid w:val="00B5604B"/>
    <w:rsid w:val="00B6462F"/>
    <w:rsid w:val="00B74A66"/>
    <w:rsid w:val="00B82677"/>
    <w:rsid w:val="00B84AA8"/>
    <w:rsid w:val="00B9235C"/>
    <w:rsid w:val="00B942B5"/>
    <w:rsid w:val="00B9491F"/>
    <w:rsid w:val="00B95528"/>
    <w:rsid w:val="00B960E7"/>
    <w:rsid w:val="00B96A9A"/>
    <w:rsid w:val="00BA75E4"/>
    <w:rsid w:val="00BB2C84"/>
    <w:rsid w:val="00BB3028"/>
    <w:rsid w:val="00BC111B"/>
    <w:rsid w:val="00BE4E42"/>
    <w:rsid w:val="00BE5C37"/>
    <w:rsid w:val="00BE6852"/>
    <w:rsid w:val="00BE7E33"/>
    <w:rsid w:val="00BF4B3C"/>
    <w:rsid w:val="00C03835"/>
    <w:rsid w:val="00C0527F"/>
    <w:rsid w:val="00C156F7"/>
    <w:rsid w:val="00C225D1"/>
    <w:rsid w:val="00C227A4"/>
    <w:rsid w:val="00C227FC"/>
    <w:rsid w:val="00C266EE"/>
    <w:rsid w:val="00C45EA9"/>
    <w:rsid w:val="00C463D2"/>
    <w:rsid w:val="00C50939"/>
    <w:rsid w:val="00C5789C"/>
    <w:rsid w:val="00C57FBD"/>
    <w:rsid w:val="00C660AA"/>
    <w:rsid w:val="00C70AE7"/>
    <w:rsid w:val="00C82292"/>
    <w:rsid w:val="00C839F6"/>
    <w:rsid w:val="00C879EE"/>
    <w:rsid w:val="00C90806"/>
    <w:rsid w:val="00CA4970"/>
    <w:rsid w:val="00CA5CAF"/>
    <w:rsid w:val="00CB0822"/>
    <w:rsid w:val="00CB1133"/>
    <w:rsid w:val="00CB230E"/>
    <w:rsid w:val="00CC3191"/>
    <w:rsid w:val="00CD093C"/>
    <w:rsid w:val="00CD222C"/>
    <w:rsid w:val="00CD3A4C"/>
    <w:rsid w:val="00CE0017"/>
    <w:rsid w:val="00CE1A3F"/>
    <w:rsid w:val="00CE2D21"/>
    <w:rsid w:val="00CE468D"/>
    <w:rsid w:val="00D13A70"/>
    <w:rsid w:val="00D32712"/>
    <w:rsid w:val="00D347A5"/>
    <w:rsid w:val="00D52E52"/>
    <w:rsid w:val="00D53045"/>
    <w:rsid w:val="00D61D25"/>
    <w:rsid w:val="00D61FED"/>
    <w:rsid w:val="00D6210A"/>
    <w:rsid w:val="00D66067"/>
    <w:rsid w:val="00D66A0B"/>
    <w:rsid w:val="00D910B7"/>
    <w:rsid w:val="00D92DE8"/>
    <w:rsid w:val="00DA2CD6"/>
    <w:rsid w:val="00DB7463"/>
    <w:rsid w:val="00DC2E45"/>
    <w:rsid w:val="00DC72FB"/>
    <w:rsid w:val="00DD1ACA"/>
    <w:rsid w:val="00DD3D5B"/>
    <w:rsid w:val="00DE3458"/>
    <w:rsid w:val="00DF1DB1"/>
    <w:rsid w:val="00DF4268"/>
    <w:rsid w:val="00DF76DC"/>
    <w:rsid w:val="00DF7D22"/>
    <w:rsid w:val="00E01F2A"/>
    <w:rsid w:val="00E142C3"/>
    <w:rsid w:val="00E21488"/>
    <w:rsid w:val="00E4634E"/>
    <w:rsid w:val="00E556F4"/>
    <w:rsid w:val="00E60609"/>
    <w:rsid w:val="00E83A3F"/>
    <w:rsid w:val="00EA4232"/>
    <w:rsid w:val="00EB54FC"/>
    <w:rsid w:val="00EC6B66"/>
    <w:rsid w:val="00ED11CA"/>
    <w:rsid w:val="00ED337D"/>
    <w:rsid w:val="00ED47ED"/>
    <w:rsid w:val="00ED5C7B"/>
    <w:rsid w:val="00EE33EB"/>
    <w:rsid w:val="00EE3A31"/>
    <w:rsid w:val="00EF07B0"/>
    <w:rsid w:val="00F03F7F"/>
    <w:rsid w:val="00F13D78"/>
    <w:rsid w:val="00F23EE5"/>
    <w:rsid w:val="00F34FB4"/>
    <w:rsid w:val="00F42B37"/>
    <w:rsid w:val="00F43CA6"/>
    <w:rsid w:val="00F55A5B"/>
    <w:rsid w:val="00F616AF"/>
    <w:rsid w:val="00F642C0"/>
    <w:rsid w:val="00F644C2"/>
    <w:rsid w:val="00F6473B"/>
    <w:rsid w:val="00F737B6"/>
    <w:rsid w:val="00F73AEB"/>
    <w:rsid w:val="00F81ECB"/>
    <w:rsid w:val="00F837BA"/>
    <w:rsid w:val="00F85829"/>
    <w:rsid w:val="00F93E70"/>
    <w:rsid w:val="00F968E2"/>
    <w:rsid w:val="00FA1604"/>
    <w:rsid w:val="00FC7036"/>
    <w:rsid w:val="00FD3EA6"/>
    <w:rsid w:val="00FD6AD8"/>
    <w:rsid w:val="00FE2C74"/>
    <w:rsid w:val="00FE651F"/>
    <w:rsid w:val="00FF3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F7AE4-782F-426D-B6BE-EA65627E8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1548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Associação TV e RTV</vt:lpstr>
    </vt:vector>
  </TitlesOfParts>
  <Company/>
  <LinksUpToDate>false</LinksUpToDate>
  <CharactersWithSpaces>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Associação TV e RTV</dc:title>
  <dc:creator/>
  <dc:description>Distribuição, à Titulo Gratuito, de Equipamentos à Pessoas Específicas em Cumprimento a Obrigação Estabelecida Por Agência Reguladora. Atividade Fora do Campo de Incidência do ICMS</dc:description>
  <cp:lastModifiedBy>Thereza Marina Cunha M. Cunha</cp:lastModifiedBy>
  <cp:revision>63</cp:revision>
  <cp:lastPrinted>2015-10-01T20:49:00Z</cp:lastPrinted>
  <dcterms:created xsi:type="dcterms:W3CDTF">2017-03-09T17:24:00Z</dcterms:created>
  <dcterms:modified xsi:type="dcterms:W3CDTF">2017-03-23T17:47:00Z</dcterms:modified>
  <cp:category>E04-079393-17</cp:category>
</cp:coreProperties>
</file>