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0"/>
        <w:gridCol w:w="8370"/>
      </w:tblGrid>
      <w:tr w:rsidR="009C1605" w:rsidRPr="009C1605" w:rsidTr="009C1605">
        <w:tc>
          <w:tcPr>
            <w:tcW w:w="1240" w:type="dxa"/>
          </w:tcPr>
          <w:p w:rsidR="009C1605" w:rsidRPr="009C1605" w:rsidRDefault="009C1605" w:rsidP="00411551">
            <w:pPr>
              <w:pStyle w:val="Ttulo2"/>
            </w:pPr>
          </w:p>
        </w:tc>
        <w:tc>
          <w:tcPr>
            <w:tcW w:w="180" w:type="dxa"/>
          </w:tcPr>
          <w:p w:rsidR="009C1605" w:rsidRPr="009C1605" w:rsidRDefault="009C1605" w:rsidP="00411551">
            <w:pPr>
              <w:rPr>
                <w:b/>
                <w:smallCaps/>
              </w:rPr>
            </w:pPr>
          </w:p>
        </w:tc>
        <w:tc>
          <w:tcPr>
            <w:tcW w:w="8370" w:type="dxa"/>
          </w:tcPr>
          <w:p w:rsidR="009C1605" w:rsidRPr="009C1605" w:rsidRDefault="009C1605" w:rsidP="00090857">
            <w:pPr>
              <w:rPr>
                <w:smallCaps/>
              </w:rPr>
            </w:pPr>
          </w:p>
        </w:tc>
      </w:tr>
      <w:tr w:rsidR="00190677" w:rsidRPr="009C1605" w:rsidTr="009C1605">
        <w:tc>
          <w:tcPr>
            <w:tcW w:w="1240" w:type="dxa"/>
          </w:tcPr>
          <w:p w:rsidR="00190677" w:rsidRPr="009C1605" w:rsidRDefault="00190677" w:rsidP="00722E3C">
            <w:pPr>
              <w:rPr>
                <w:b/>
                <w:smallCaps/>
              </w:rPr>
            </w:pPr>
          </w:p>
        </w:tc>
        <w:tc>
          <w:tcPr>
            <w:tcW w:w="180" w:type="dxa"/>
          </w:tcPr>
          <w:p w:rsidR="00190677" w:rsidRPr="009C1605" w:rsidRDefault="00190677" w:rsidP="00722E3C">
            <w:pPr>
              <w:rPr>
                <w:b/>
                <w:smallCaps/>
              </w:rPr>
            </w:pPr>
          </w:p>
        </w:tc>
        <w:tc>
          <w:tcPr>
            <w:tcW w:w="8370" w:type="dxa"/>
          </w:tcPr>
          <w:p w:rsidR="00190677" w:rsidRPr="009C1605" w:rsidRDefault="00190677" w:rsidP="00722E3C">
            <w:pPr>
              <w:rPr>
                <w:smallCaps/>
              </w:rPr>
            </w:pPr>
          </w:p>
        </w:tc>
      </w:tr>
      <w:tr w:rsidR="00190677" w:rsidRPr="009C1605" w:rsidTr="009C1605">
        <w:tc>
          <w:tcPr>
            <w:tcW w:w="1240" w:type="dxa"/>
          </w:tcPr>
          <w:p w:rsidR="00190677" w:rsidRPr="009C1605" w:rsidRDefault="00190677" w:rsidP="00722E3C">
            <w:pPr>
              <w:rPr>
                <w:b/>
                <w:smallCaps/>
              </w:rPr>
            </w:pPr>
          </w:p>
        </w:tc>
        <w:tc>
          <w:tcPr>
            <w:tcW w:w="180" w:type="dxa"/>
          </w:tcPr>
          <w:p w:rsidR="00190677" w:rsidRPr="009C1605" w:rsidRDefault="00190677" w:rsidP="00722E3C">
            <w:pPr>
              <w:rPr>
                <w:b/>
                <w:smallCaps/>
              </w:rPr>
            </w:pPr>
          </w:p>
        </w:tc>
        <w:tc>
          <w:tcPr>
            <w:tcW w:w="8370" w:type="dxa"/>
          </w:tcPr>
          <w:p w:rsidR="00190677" w:rsidRPr="009C1605" w:rsidRDefault="00190677" w:rsidP="00722E3C">
            <w:pPr>
              <w:rPr>
                <w:smallCaps/>
              </w:rPr>
            </w:pPr>
          </w:p>
        </w:tc>
      </w:tr>
      <w:tr w:rsidR="009C1605" w:rsidRPr="009C1605" w:rsidTr="009C1605">
        <w:tc>
          <w:tcPr>
            <w:tcW w:w="1240" w:type="dxa"/>
          </w:tcPr>
          <w:p w:rsidR="009C1605" w:rsidRPr="009C1605" w:rsidRDefault="009C1605" w:rsidP="00411551">
            <w:pPr>
              <w:rPr>
                <w:b/>
                <w:smallCaps/>
              </w:rPr>
            </w:pPr>
            <w:r w:rsidRPr="009C1605">
              <w:rPr>
                <w:b/>
                <w:smallCaps/>
              </w:rPr>
              <w:t>Assunto</w:t>
            </w:r>
          </w:p>
        </w:tc>
        <w:tc>
          <w:tcPr>
            <w:tcW w:w="180" w:type="dxa"/>
          </w:tcPr>
          <w:p w:rsidR="009C1605" w:rsidRPr="009C1605" w:rsidRDefault="009C1605" w:rsidP="00411551">
            <w:pPr>
              <w:rPr>
                <w:b/>
                <w:smallCaps/>
              </w:rPr>
            </w:pPr>
            <w:r w:rsidRPr="009C1605">
              <w:rPr>
                <w:b/>
                <w:smallCaps/>
              </w:rPr>
              <w:t>:</w:t>
            </w:r>
          </w:p>
        </w:tc>
        <w:tc>
          <w:tcPr>
            <w:tcW w:w="8370" w:type="dxa"/>
          </w:tcPr>
          <w:p w:rsidR="009C1605" w:rsidRPr="009C1605" w:rsidRDefault="00190677" w:rsidP="001E774C">
            <w:pPr>
              <w:rPr>
                <w:smallCaps/>
              </w:rPr>
            </w:pPr>
            <w:r>
              <w:rPr>
                <w:smallCaps/>
              </w:rPr>
              <w:t>Devolução de Mercadoria sujeita ao regime de substituição tributária. Ausência de destaque no documento emitido por contribuinte substituído paranaense que realiza a devolução</w:t>
            </w:r>
            <w:r w:rsidR="001E774C">
              <w:rPr>
                <w:smallCaps/>
              </w:rPr>
              <w:t xml:space="preserve"> tendo em vista o disposto na legislação tributária do Paraná</w:t>
            </w:r>
            <w:r>
              <w:rPr>
                <w:smallCaps/>
              </w:rPr>
              <w:t>. Remetente fluminense substituto</w:t>
            </w:r>
            <w:r w:rsidR="00722E3C">
              <w:rPr>
                <w:smallCaps/>
              </w:rPr>
              <w:t xml:space="preserve"> tem</w:t>
            </w:r>
            <w:r>
              <w:rPr>
                <w:smallCaps/>
              </w:rPr>
              <w:t xml:space="preserve"> </w:t>
            </w:r>
            <w:r w:rsidR="00722E3C">
              <w:rPr>
                <w:smallCaps/>
              </w:rPr>
              <w:t>d</w:t>
            </w:r>
            <w:r>
              <w:rPr>
                <w:smallCaps/>
              </w:rPr>
              <w:t>ireito ao crédito</w:t>
            </w:r>
            <w:r w:rsidR="00722E3C">
              <w:rPr>
                <w:smallCaps/>
              </w:rPr>
              <w:t xml:space="preserve"> do ICMS relativo à operação própria</w:t>
            </w:r>
            <w:r>
              <w:rPr>
                <w:smallCaps/>
              </w:rPr>
              <w:t xml:space="preserve"> </w:t>
            </w:r>
            <w:r w:rsidR="009602C6">
              <w:rPr>
                <w:smallCaps/>
              </w:rPr>
              <w:t xml:space="preserve">se cumpridos os requisitos formais de escrituração </w:t>
            </w:r>
            <w:r>
              <w:rPr>
                <w:smallCaps/>
              </w:rPr>
              <w:t>sob condição resolutória</w:t>
            </w:r>
            <w:r w:rsidR="001E774C">
              <w:rPr>
                <w:smallCaps/>
              </w:rPr>
              <w:t>, tendo em vista tratar-se de t</w:t>
            </w:r>
            <w:r>
              <w:rPr>
                <w:smallCaps/>
              </w:rPr>
              <w:t xml:space="preserve">ributo </w:t>
            </w:r>
            <w:proofErr w:type="gramStart"/>
            <w:r>
              <w:rPr>
                <w:smallCaps/>
              </w:rPr>
              <w:t>não-cumulativo</w:t>
            </w:r>
            <w:proofErr w:type="gramEnd"/>
            <w:r>
              <w:rPr>
                <w:smallCaps/>
              </w:rPr>
              <w:t xml:space="preserve"> lançado por homologação. </w:t>
            </w:r>
          </w:p>
        </w:tc>
      </w:tr>
      <w:tr w:rsidR="009C1605" w:rsidRPr="009C1605" w:rsidTr="009C1605">
        <w:tc>
          <w:tcPr>
            <w:tcW w:w="1240" w:type="dxa"/>
          </w:tcPr>
          <w:p w:rsidR="009C1605" w:rsidRPr="009C1605" w:rsidRDefault="009C1605" w:rsidP="00411551">
            <w:pPr>
              <w:rPr>
                <w:b/>
                <w:smallCaps/>
              </w:rPr>
            </w:pPr>
          </w:p>
        </w:tc>
        <w:tc>
          <w:tcPr>
            <w:tcW w:w="180" w:type="dxa"/>
          </w:tcPr>
          <w:p w:rsidR="009C1605" w:rsidRPr="009C1605" w:rsidRDefault="009C1605" w:rsidP="00411551">
            <w:pPr>
              <w:rPr>
                <w:b/>
                <w:smallCaps/>
              </w:rPr>
            </w:pPr>
          </w:p>
        </w:tc>
        <w:tc>
          <w:tcPr>
            <w:tcW w:w="8370" w:type="dxa"/>
          </w:tcPr>
          <w:p w:rsidR="00BF0493" w:rsidRDefault="009C1605" w:rsidP="00411551">
            <w:pPr>
              <w:jc w:val="center"/>
              <w:rPr>
                <w:b/>
                <w:smallCaps/>
              </w:rPr>
            </w:pPr>
            <w:r w:rsidRPr="009C1605">
              <w:rPr>
                <w:b/>
                <w:smallCaps/>
              </w:rPr>
              <w:t xml:space="preserve">                                                           </w:t>
            </w:r>
          </w:p>
          <w:p w:rsidR="009C1605" w:rsidRPr="009C1605" w:rsidRDefault="009C1605" w:rsidP="00411551">
            <w:pPr>
              <w:jc w:val="center"/>
              <w:rPr>
                <w:b/>
                <w:smallCaps/>
              </w:rPr>
            </w:pPr>
            <w:r w:rsidRPr="009C1605">
              <w:rPr>
                <w:b/>
                <w:smallCaps/>
              </w:rPr>
              <w:t xml:space="preserve">Consulta n° </w:t>
            </w:r>
            <w:r w:rsidR="00CF2E59">
              <w:rPr>
                <w:b/>
                <w:smallCaps/>
              </w:rPr>
              <w:t>020/2019</w:t>
            </w:r>
          </w:p>
        </w:tc>
      </w:tr>
    </w:tbl>
    <w:p w:rsidR="009C1605" w:rsidRPr="009C1605" w:rsidRDefault="009C1605" w:rsidP="009C1605">
      <w:pPr>
        <w:ind w:right="-671" w:firstLine="432"/>
        <w:rPr>
          <w:bCs/>
        </w:rPr>
      </w:pPr>
    </w:p>
    <w:p w:rsidR="007B3A31" w:rsidRDefault="00BF0493" w:rsidP="009C1605">
      <w:pPr>
        <w:ind w:right="-671" w:firstLine="432"/>
      </w:pPr>
      <w:r>
        <w:t xml:space="preserve">Trata-se de consulta </w:t>
      </w:r>
      <w:r w:rsidR="00722E3C">
        <w:t xml:space="preserve">formulada por empresa </w:t>
      </w:r>
      <w:r w:rsidR="00722E3C" w:rsidRPr="00E63077">
        <w:rPr>
          <w:i/>
        </w:rPr>
        <w:t>“do ramo da fabricação de bebidas alcoólicas</w:t>
      </w:r>
      <w:r w:rsidR="00E63077">
        <w:rPr>
          <w:i/>
        </w:rPr>
        <w:t>”</w:t>
      </w:r>
      <w:r w:rsidR="00722E3C" w:rsidRPr="00E63077">
        <w:rPr>
          <w:i/>
        </w:rPr>
        <w:t xml:space="preserve">, </w:t>
      </w:r>
      <w:r w:rsidR="00E63077" w:rsidRPr="00E63077">
        <w:t xml:space="preserve">que </w:t>
      </w:r>
      <w:r w:rsidR="00722E3C" w:rsidRPr="00E63077">
        <w:t>fornece</w:t>
      </w:r>
      <w:r w:rsidR="00722E3C" w:rsidRPr="00E63077">
        <w:rPr>
          <w:i/>
        </w:rPr>
        <w:t xml:space="preserve"> </w:t>
      </w:r>
      <w:r w:rsidR="00E63077">
        <w:rPr>
          <w:i/>
        </w:rPr>
        <w:t>“</w:t>
      </w:r>
      <w:r w:rsidR="00722E3C" w:rsidRPr="00E63077">
        <w:rPr>
          <w:i/>
        </w:rPr>
        <w:t>mercadorias sujeitas ao regime de substituição tributária a adquirentes localizadas em outras unidades federadas”</w:t>
      </w:r>
      <w:r w:rsidR="00E63077">
        <w:rPr>
          <w:i/>
        </w:rPr>
        <w:t xml:space="preserve"> </w:t>
      </w:r>
      <w:r w:rsidR="00E63077" w:rsidRPr="00E63077">
        <w:t>(fl. 03)</w:t>
      </w:r>
      <w:r w:rsidR="00722E3C">
        <w:t xml:space="preserve">. </w:t>
      </w:r>
    </w:p>
    <w:p w:rsidR="007B3A31" w:rsidRDefault="007B3A31" w:rsidP="009C1605">
      <w:pPr>
        <w:ind w:right="-671" w:firstLine="432"/>
      </w:pPr>
    </w:p>
    <w:p w:rsidR="00722E3C" w:rsidRDefault="00AC4906" w:rsidP="009C1605">
      <w:pPr>
        <w:ind w:right="-671" w:firstLine="432"/>
      </w:pPr>
      <w:r>
        <w:t>Em resposta à indagação formulada por esta Coordenação</w:t>
      </w:r>
      <w:r w:rsidR="007B3A31">
        <w:t xml:space="preserve"> (fls. 38/39)</w:t>
      </w:r>
      <w:r>
        <w:t>, a AFE 11 retifica</w:t>
      </w:r>
      <w:r w:rsidR="007B3A31">
        <w:t xml:space="preserve"> a informação anterior, no sentido de que estaria prejudicada a consulta (fl. 35), e </w:t>
      </w:r>
      <w:r w:rsidR="007B3A31" w:rsidRPr="009602C6">
        <w:rPr>
          <w:i/>
        </w:rPr>
        <w:t>“ressalta a diferença das operações, uma vez que consulta abrange operações submetidas ao regime de substituição tributária, diferentemente do ocorrido na planilha anexa ao Ofício 26/2018”</w:t>
      </w:r>
      <w:r w:rsidR="007B3A31">
        <w:t xml:space="preserve">. Assim, parece-me superada a preliminar suscitada de forma genérica à </w:t>
      </w:r>
      <w:proofErr w:type="spellStart"/>
      <w:r w:rsidR="007B3A31">
        <w:t>fl</w:t>
      </w:r>
      <w:proofErr w:type="spellEnd"/>
      <w:r w:rsidR="007B3A31">
        <w:t xml:space="preserve"> 35.  </w:t>
      </w:r>
      <w:r>
        <w:t xml:space="preserve"> </w:t>
      </w:r>
    </w:p>
    <w:p w:rsidR="00E63077" w:rsidRDefault="00E63077" w:rsidP="009C1605">
      <w:pPr>
        <w:ind w:right="-671" w:firstLine="432"/>
      </w:pPr>
    </w:p>
    <w:p w:rsidR="00C041CF" w:rsidRDefault="00722E3C" w:rsidP="009C1605">
      <w:pPr>
        <w:ind w:right="-671" w:firstLine="432"/>
      </w:pPr>
      <w:r>
        <w:t xml:space="preserve">O consulente salienta que </w:t>
      </w:r>
      <w:r w:rsidR="009602C6">
        <w:t xml:space="preserve">seu </w:t>
      </w:r>
      <w:r w:rsidR="00E63077">
        <w:t>cliente contribuinte</w:t>
      </w:r>
      <w:r>
        <w:t xml:space="preserve"> localizado no Estado do Paraná, por força do disposto no art. 9º do Anexo X do RICMS PR (Decreto nº 6.080, de 28/09/2012), ao realizar devolução de mercadoria, que fora anteriormente submetida ao regime de substituição tributária, emite </w:t>
      </w:r>
      <w:r w:rsidRPr="00E63077">
        <w:rPr>
          <w:i/>
        </w:rPr>
        <w:t xml:space="preserve">“documento fiscal na forma regulamentar, </w:t>
      </w:r>
      <w:r w:rsidRPr="00FF2381">
        <w:rPr>
          <w:b/>
          <w:i/>
          <w:u w:val="single"/>
        </w:rPr>
        <w:t>sem destaque do imposto</w:t>
      </w:r>
      <w:r w:rsidRPr="00E63077">
        <w:rPr>
          <w:i/>
        </w:rPr>
        <w:t>, indicando o número e a data da nota fiscal emitida quando da remessa originária, assim como os motivos da devolução</w:t>
      </w:r>
      <w:r>
        <w:t>”</w:t>
      </w:r>
      <w:r w:rsidR="00FF2381">
        <w:t xml:space="preserve"> (grifo inexistente no original)</w:t>
      </w:r>
      <w:r w:rsidR="00C041CF">
        <w:t xml:space="preserve">. Em síntese, </w:t>
      </w:r>
      <w:r w:rsidR="00C041CF" w:rsidRPr="00E63077">
        <w:rPr>
          <w:i/>
        </w:rPr>
        <w:t>“o contribuinte paranaense que promove a devolução, apenas indica no campo próprio o número da nota fiscal correspondente à aquisição e no campo ‘Informações Complementares’ o motivo da devolução e os valores da base de cálculo, sem destaque do ICMS”</w:t>
      </w:r>
      <w:r w:rsidR="009602C6">
        <w:rPr>
          <w:i/>
        </w:rPr>
        <w:t xml:space="preserve"> </w:t>
      </w:r>
      <w:r w:rsidR="009602C6">
        <w:t>(fl.4)</w:t>
      </w:r>
      <w:r w:rsidR="00C041CF">
        <w:t>.</w:t>
      </w:r>
    </w:p>
    <w:p w:rsidR="00C041CF" w:rsidRPr="003B6B0E" w:rsidRDefault="00C041CF" w:rsidP="009C1605">
      <w:pPr>
        <w:ind w:right="-671" w:firstLine="432"/>
        <w:rPr>
          <w:sz w:val="20"/>
        </w:rPr>
      </w:pPr>
    </w:p>
    <w:p w:rsidR="00C041CF" w:rsidRDefault="00C041CF" w:rsidP="00C041CF">
      <w:pPr>
        <w:ind w:right="-671" w:firstLine="432"/>
      </w:pPr>
      <w:r>
        <w:t xml:space="preserve">Após considerações gerais sobre o tema, questiona (fl. </w:t>
      </w:r>
      <w:r w:rsidR="003B6B0E">
        <w:t>8/9)</w:t>
      </w:r>
      <w:r>
        <w:t>:</w:t>
      </w:r>
    </w:p>
    <w:p w:rsidR="00C041CF" w:rsidRPr="003B6B0E" w:rsidRDefault="00C041CF" w:rsidP="00C041CF">
      <w:pPr>
        <w:pStyle w:val="PargrafodaLista"/>
        <w:numPr>
          <w:ilvl w:val="0"/>
          <w:numId w:val="2"/>
        </w:numPr>
        <w:ind w:right="-671"/>
        <w:rPr>
          <w:b/>
          <w:sz w:val="20"/>
        </w:rPr>
      </w:pPr>
      <w:proofErr w:type="gramStart"/>
      <w:r w:rsidRPr="003B6B0E">
        <w:rPr>
          <w:b/>
          <w:sz w:val="20"/>
        </w:rPr>
        <w:t>“Nas devoluções de mercadorias sujeitas</w:t>
      </w:r>
      <w:proofErr w:type="gramEnd"/>
      <w:r w:rsidRPr="003B6B0E">
        <w:rPr>
          <w:b/>
          <w:sz w:val="20"/>
        </w:rPr>
        <w:t xml:space="preserve"> à Substituição Tributária, o contribuinte substituto com sede no Estado do Rio de Janeiro poderá se apropriar do crédito de ICMS relativo à devolução de mercadoria por pessoa jurídica que, em razão do disposto na legislação estadual de sua unidade federada, não emite Nota Fiscal com destaque do imposto?</w:t>
      </w:r>
    </w:p>
    <w:p w:rsidR="00C041CF" w:rsidRPr="003B6B0E" w:rsidRDefault="00C041CF" w:rsidP="00C041CF">
      <w:pPr>
        <w:pStyle w:val="PargrafodaLista"/>
        <w:numPr>
          <w:ilvl w:val="0"/>
          <w:numId w:val="2"/>
        </w:numPr>
        <w:ind w:right="-671"/>
        <w:rPr>
          <w:b/>
          <w:sz w:val="20"/>
        </w:rPr>
      </w:pPr>
      <w:r w:rsidRPr="003B6B0E">
        <w:rPr>
          <w:b/>
          <w:sz w:val="20"/>
        </w:rPr>
        <w:t xml:space="preserve">Entendendo-se pela impossibilidade de </w:t>
      </w:r>
      <w:proofErr w:type="spellStart"/>
      <w:r w:rsidRPr="003B6B0E">
        <w:rPr>
          <w:b/>
          <w:sz w:val="20"/>
        </w:rPr>
        <w:t>creditamento</w:t>
      </w:r>
      <w:proofErr w:type="spellEnd"/>
      <w:r w:rsidRPr="003B6B0E">
        <w:rPr>
          <w:b/>
          <w:sz w:val="20"/>
        </w:rPr>
        <w:t xml:space="preserve">, tal entendimento não acarretaria a violação </w:t>
      </w:r>
      <w:proofErr w:type="gramStart"/>
      <w:r w:rsidRPr="003B6B0E">
        <w:rPr>
          <w:b/>
          <w:sz w:val="20"/>
        </w:rPr>
        <w:t>à</w:t>
      </w:r>
      <w:proofErr w:type="gramEnd"/>
      <w:r w:rsidRPr="003B6B0E">
        <w:rPr>
          <w:b/>
          <w:sz w:val="20"/>
        </w:rPr>
        <w:t xml:space="preserve"> não-cumulatividade?</w:t>
      </w:r>
    </w:p>
    <w:p w:rsidR="00C041CF" w:rsidRPr="003B6B0E" w:rsidRDefault="00C041CF" w:rsidP="00C041CF">
      <w:pPr>
        <w:pStyle w:val="PargrafodaLista"/>
        <w:numPr>
          <w:ilvl w:val="0"/>
          <w:numId w:val="2"/>
        </w:numPr>
        <w:ind w:right="-671"/>
        <w:rPr>
          <w:b/>
          <w:sz w:val="20"/>
        </w:rPr>
      </w:pPr>
      <w:r w:rsidRPr="003B6B0E">
        <w:rPr>
          <w:b/>
          <w:sz w:val="20"/>
        </w:rPr>
        <w:t xml:space="preserve">Do contrário, entendendo-se pela possibilidade de </w:t>
      </w:r>
      <w:proofErr w:type="spellStart"/>
      <w:r w:rsidRPr="003B6B0E">
        <w:rPr>
          <w:b/>
          <w:sz w:val="20"/>
        </w:rPr>
        <w:t>creditamento</w:t>
      </w:r>
      <w:proofErr w:type="spellEnd"/>
      <w:r w:rsidRPr="003B6B0E">
        <w:rPr>
          <w:b/>
          <w:sz w:val="20"/>
        </w:rPr>
        <w:t>, como deverá ser registrado o crédito na escrita fiscal</w:t>
      </w:r>
      <w:r w:rsidR="003B6B0E">
        <w:rPr>
          <w:b/>
          <w:sz w:val="20"/>
        </w:rPr>
        <w:t>?</w:t>
      </w:r>
      <w:proofErr w:type="gramStart"/>
      <w:r w:rsidRPr="003B6B0E">
        <w:rPr>
          <w:b/>
          <w:sz w:val="20"/>
        </w:rPr>
        <w:t>”</w:t>
      </w:r>
    </w:p>
    <w:p w:rsidR="00C041CF" w:rsidRPr="003B6B0E" w:rsidRDefault="00C041CF" w:rsidP="009C1605">
      <w:pPr>
        <w:ind w:right="-671" w:firstLine="432"/>
        <w:rPr>
          <w:sz w:val="20"/>
        </w:rPr>
      </w:pPr>
      <w:proofErr w:type="gramEnd"/>
    </w:p>
    <w:p w:rsidR="009602C6" w:rsidRDefault="00C041CF" w:rsidP="009C1605">
      <w:pPr>
        <w:ind w:right="-671" w:firstLine="432"/>
      </w:pPr>
      <w:r>
        <w:t>Importante r</w:t>
      </w:r>
      <w:r w:rsidR="00E63077">
        <w:t>essaltar que, estranhamente, a</w:t>
      </w:r>
      <w:r>
        <w:t xml:space="preserve"> nota fiscal </w:t>
      </w:r>
      <w:r w:rsidR="00E63077">
        <w:t xml:space="preserve">incluída </w:t>
      </w:r>
      <w:r>
        <w:t xml:space="preserve">para exemplificar a operação (fl. 5), </w:t>
      </w:r>
      <w:r w:rsidR="00E63077">
        <w:t>não é</w:t>
      </w:r>
      <w:r>
        <w:t xml:space="preserve"> documento fiscal que </w:t>
      </w:r>
      <w:r w:rsidR="00E63077">
        <w:t>tenha</w:t>
      </w:r>
      <w:r>
        <w:t xml:space="preserve"> como destinatário o consulente, além de </w:t>
      </w:r>
      <w:r>
        <w:lastRenderedPageBreak/>
        <w:t xml:space="preserve">ser relativa transação com </w:t>
      </w:r>
      <w:r w:rsidRPr="00E63077">
        <w:rPr>
          <w:b/>
          <w:u w:val="single"/>
        </w:rPr>
        <w:t>pneu</w:t>
      </w:r>
      <w:r>
        <w:t>, e não “do ramo da fabricação de bebidas alcoólicas”.</w:t>
      </w:r>
    </w:p>
    <w:p w:rsidR="009602C6" w:rsidRDefault="009602C6" w:rsidP="009C1605">
      <w:pPr>
        <w:ind w:right="-671" w:firstLine="432"/>
      </w:pPr>
    </w:p>
    <w:p w:rsidR="00722E3C" w:rsidRDefault="009602C6" w:rsidP="009C1605">
      <w:pPr>
        <w:ind w:right="-671" w:firstLine="432"/>
      </w:pPr>
      <w:r>
        <w:t xml:space="preserve">Sugiro que a </w:t>
      </w:r>
      <w:r w:rsidR="001213BF">
        <w:t>(ir</w:t>
      </w:r>
      <w:proofErr w:type="gramStart"/>
      <w:r w:rsidR="001213BF">
        <w:t>)</w:t>
      </w:r>
      <w:r>
        <w:t>relevância</w:t>
      </w:r>
      <w:proofErr w:type="gramEnd"/>
      <w:r>
        <w:t xml:space="preserve"> desse fato seja examinado pela AFE 11 –Bebidas.</w:t>
      </w:r>
      <w:r w:rsidR="00C041CF">
        <w:t xml:space="preserve"> </w:t>
      </w:r>
      <w:r w:rsidR="00722E3C">
        <w:t xml:space="preserve"> </w:t>
      </w:r>
    </w:p>
    <w:p w:rsidR="00C041CF" w:rsidRDefault="00C041CF" w:rsidP="009C1605">
      <w:pPr>
        <w:ind w:right="-671" w:firstLine="432"/>
      </w:pPr>
    </w:p>
    <w:p w:rsidR="00E04CF8" w:rsidRDefault="003B6B0E" w:rsidP="009C1605">
      <w:pPr>
        <w:ind w:right="-671" w:firstLine="432"/>
      </w:pPr>
      <w:r>
        <w:t>Por fim, saliente-se que a petição inicial (fls. 03 a 09) está devidamente assinada e acompanhada pelo comprovante do pagamento da taxa de serviços estaduais (fls. 10 a 12).</w:t>
      </w:r>
    </w:p>
    <w:p w:rsidR="003B6B0E" w:rsidRDefault="003B6B0E" w:rsidP="009C1605">
      <w:pPr>
        <w:ind w:right="-671" w:firstLine="432"/>
      </w:pPr>
    </w:p>
    <w:p w:rsidR="009C1605" w:rsidRPr="009C1605" w:rsidRDefault="0087192B" w:rsidP="009C1605">
      <w:pPr>
        <w:ind w:right="-671" w:firstLine="432"/>
      </w:pPr>
      <w:r>
        <w:t>É o relatório.</w:t>
      </w:r>
    </w:p>
    <w:p w:rsidR="009C1605" w:rsidRPr="009C1605" w:rsidRDefault="009C1605" w:rsidP="009C1605">
      <w:pPr>
        <w:pStyle w:val="Ttulo5"/>
        <w:ind w:firstLine="432"/>
        <w:rPr>
          <w:rFonts w:ascii="Arial" w:hAnsi="Arial" w:cs="Arial"/>
          <w:b/>
          <w:smallCaps/>
          <w:color w:val="auto"/>
        </w:rPr>
      </w:pPr>
      <w:r w:rsidRPr="009C1605">
        <w:rPr>
          <w:rFonts w:ascii="Arial" w:hAnsi="Arial" w:cs="Arial"/>
          <w:b/>
          <w:smallCaps/>
          <w:color w:val="auto"/>
        </w:rPr>
        <w:t>Resposta:</w:t>
      </w:r>
    </w:p>
    <w:p w:rsidR="009C1605" w:rsidRPr="009C1605" w:rsidRDefault="009C1605" w:rsidP="009C1605">
      <w:pPr>
        <w:ind w:right="-671" w:firstLine="432"/>
      </w:pPr>
    </w:p>
    <w:p w:rsidR="009C1605" w:rsidRDefault="009C1605" w:rsidP="009C1605">
      <w:pPr>
        <w:ind w:right="-671" w:firstLine="432"/>
      </w:pPr>
      <w:r w:rsidRPr="009C1605">
        <w:t>Esta consulta não produzirá os efeitos que lhe são próprios caso seja editada norma superveniente que disponha de forma contrária à resposta dada no presente processo.</w:t>
      </w:r>
    </w:p>
    <w:p w:rsidR="00426FA1" w:rsidRDefault="00426FA1" w:rsidP="009C1605">
      <w:pPr>
        <w:ind w:right="-671" w:firstLine="432"/>
      </w:pPr>
    </w:p>
    <w:p w:rsidR="00426FA1" w:rsidRPr="009C1605" w:rsidRDefault="00426FA1" w:rsidP="009C1605">
      <w:pPr>
        <w:ind w:right="-671" w:firstLine="432"/>
      </w:pPr>
      <w:r>
        <w:t>Preliminarmente, importante salientar que a esta Coordenadoria de Consultas Jurídico-Tributárias compete tão somente interpretar a legislação tributária já editada</w:t>
      </w:r>
      <w:r w:rsidR="009602C6">
        <w:t>,</w:t>
      </w:r>
      <w:r w:rsidR="00E63077">
        <w:t xml:space="preserve"> assumindo como verdade</w:t>
      </w:r>
      <w:r w:rsidR="009602C6">
        <w:t>iros</w:t>
      </w:r>
      <w:r w:rsidR="00E63077">
        <w:t xml:space="preserve"> os fatos descritos pelo contribuinte</w:t>
      </w:r>
      <w:r>
        <w:t>, não sendo atribuição deste órgão avaliar a constitucionalidade, legalidade, adequação ou pertinência de norma vigente</w:t>
      </w:r>
      <w:r w:rsidR="00E63077">
        <w:t xml:space="preserve">, tampouco realizar procedimentos fiscais visando conferir a </w:t>
      </w:r>
      <w:r w:rsidR="009602C6">
        <w:t>exatidão</w:t>
      </w:r>
      <w:r w:rsidR="00E63077">
        <w:t xml:space="preserve"> das alegações apresentadas</w:t>
      </w:r>
      <w:r>
        <w:t xml:space="preserve">.  </w:t>
      </w:r>
    </w:p>
    <w:p w:rsidR="009C1605" w:rsidRPr="009C1605" w:rsidRDefault="009C1605" w:rsidP="009C1605">
      <w:pPr>
        <w:ind w:right="-671" w:firstLine="432"/>
      </w:pPr>
    </w:p>
    <w:p w:rsidR="00AC4906" w:rsidRDefault="00E63077" w:rsidP="009C1605">
      <w:pPr>
        <w:ind w:right="-671" w:firstLine="432"/>
      </w:pPr>
      <w:proofErr w:type="gramStart"/>
      <w:r>
        <w:t>Is</w:t>
      </w:r>
      <w:r w:rsidR="00731350">
        <w:t>t</w:t>
      </w:r>
      <w:r>
        <w:t>o posto</w:t>
      </w:r>
      <w:proofErr w:type="gramEnd"/>
      <w:r>
        <w:t xml:space="preserve">, saliente-se que a legislação tributária do Estado do Rio de Janeiro não disciplina de forma expressa </w:t>
      </w:r>
      <w:r w:rsidR="00731350">
        <w:t>os procedimentos a serem adotados po</w:t>
      </w:r>
      <w:r w:rsidR="00C7520D">
        <w:t>r</w:t>
      </w:r>
      <w:r w:rsidR="00731350">
        <w:t xml:space="preserve"> contribuinte fluminense na</w:t>
      </w:r>
      <w:r>
        <w:t xml:space="preserve"> hipótese </w:t>
      </w:r>
      <w:r w:rsidR="00731350">
        <w:t xml:space="preserve">descrita na inicial, isto é, </w:t>
      </w:r>
      <w:r w:rsidR="00C7520D">
        <w:t>em</w:t>
      </w:r>
      <w:r w:rsidR="00731350">
        <w:t xml:space="preserve"> situação na qual o estado </w:t>
      </w:r>
      <w:r w:rsidR="00C7520D">
        <w:t>de</w:t>
      </w:r>
      <w:r w:rsidR="00731350">
        <w:t xml:space="preserve"> localiza</w:t>
      </w:r>
      <w:r w:rsidR="00C7520D">
        <w:t>ção</w:t>
      </w:r>
      <w:r w:rsidR="00731350">
        <w:t xml:space="preserve"> </w:t>
      </w:r>
      <w:r w:rsidR="00C7520D">
        <w:t>d</w:t>
      </w:r>
      <w:r w:rsidR="00731350">
        <w:t xml:space="preserve">o remetente da mercadoria devolvida determina a emissão de documento fiscal </w:t>
      </w:r>
      <w:r w:rsidR="00731350" w:rsidRPr="00731350">
        <w:rPr>
          <w:u w:val="single"/>
        </w:rPr>
        <w:t>sem destaque do imposto</w:t>
      </w:r>
      <w:r w:rsidR="00731350">
        <w:t xml:space="preserve">, indicando, no entanto, o número e a data da nota fiscal emitida, quando da remessa originária, e </w:t>
      </w:r>
      <w:r w:rsidR="009602C6">
        <w:t>“o</w:t>
      </w:r>
      <w:r w:rsidR="00731350">
        <w:t xml:space="preserve"> motivo da devolução” (fl. 4)</w:t>
      </w:r>
      <w:r w:rsidR="00A419D4">
        <w:t>.</w:t>
      </w:r>
    </w:p>
    <w:p w:rsidR="00AC4906" w:rsidRDefault="00AC4906" w:rsidP="009C1605">
      <w:pPr>
        <w:ind w:right="-671" w:firstLine="432"/>
      </w:pPr>
    </w:p>
    <w:p w:rsidR="00AC4906" w:rsidRDefault="00AC4906" w:rsidP="009C1605">
      <w:pPr>
        <w:ind w:right="-671" w:firstLine="432"/>
      </w:pPr>
      <w:r>
        <w:t>Diante da aludida omissão e da consulta formulada, entendo ser necessário disciplinar duas situações distintas. A primeira relativamente às notas fiscais já recebidas pelo consulente até o momento</w:t>
      </w:r>
      <w:r w:rsidR="00410B67">
        <w:t xml:space="preserve"> e cujo crédito não foi apropriado</w:t>
      </w:r>
      <w:r>
        <w:t>. A segunda no que alude às notas fiscais relativas às operações que ainda ocorrerão.</w:t>
      </w:r>
    </w:p>
    <w:p w:rsidR="00AC4906" w:rsidRDefault="00AC4906" w:rsidP="009C1605">
      <w:pPr>
        <w:ind w:right="-671" w:firstLine="432"/>
      </w:pPr>
    </w:p>
    <w:p w:rsidR="00C7520D" w:rsidRDefault="00AC4906" w:rsidP="009C1605">
      <w:pPr>
        <w:ind w:right="-671" w:firstLine="432"/>
      </w:pPr>
      <w:r>
        <w:t xml:space="preserve">No que se refere às notas fiscais de entrada já recebidas, entendo </w:t>
      </w:r>
      <w:r w:rsidR="00C7520D">
        <w:t>aplicável o disposto nos §§ 4º e 5º do art. 30 do Livro I do RICMS/00, os quais estabelecem:</w:t>
      </w:r>
    </w:p>
    <w:p w:rsidR="00410B67" w:rsidRDefault="00410B67" w:rsidP="00410B67">
      <w:pPr>
        <w:pStyle w:val="NormalWeb"/>
        <w:spacing w:before="0" w:beforeAutospacing="0"/>
        <w:ind w:left="1416" w:right="-710"/>
        <w:jc w:val="both"/>
        <w:rPr>
          <w:sz w:val="20"/>
          <w:szCs w:val="20"/>
        </w:rPr>
      </w:pPr>
    </w:p>
    <w:p w:rsidR="00410B67" w:rsidRDefault="00410B67" w:rsidP="00410B67">
      <w:pPr>
        <w:pStyle w:val="NormalWeb"/>
        <w:spacing w:before="0" w:beforeAutospacing="0" w:after="0" w:afterAutospacing="0"/>
        <w:ind w:left="1418" w:right="-709"/>
        <w:jc w:val="both"/>
        <w:rPr>
          <w:sz w:val="20"/>
          <w:szCs w:val="20"/>
        </w:rPr>
      </w:pPr>
      <w:r>
        <w:rPr>
          <w:sz w:val="20"/>
          <w:szCs w:val="20"/>
        </w:rPr>
        <w:t>Art. 30. (...)</w:t>
      </w:r>
    </w:p>
    <w:p w:rsidR="00410B67" w:rsidRDefault="00410B67" w:rsidP="00410B67">
      <w:pPr>
        <w:pStyle w:val="NormalWeb"/>
        <w:spacing w:before="0" w:beforeAutospacing="0" w:after="0" w:afterAutospacing="0"/>
        <w:ind w:left="1418" w:right="-709"/>
        <w:jc w:val="both"/>
        <w:rPr>
          <w:sz w:val="20"/>
          <w:szCs w:val="20"/>
        </w:rPr>
      </w:pPr>
      <w:r>
        <w:rPr>
          <w:sz w:val="20"/>
          <w:szCs w:val="20"/>
        </w:rPr>
        <w:t>(...)</w:t>
      </w:r>
    </w:p>
    <w:p w:rsidR="00C7520D" w:rsidRDefault="00C7520D" w:rsidP="00410B67">
      <w:pPr>
        <w:pStyle w:val="NormalWeb"/>
        <w:spacing w:before="0" w:beforeAutospacing="0" w:after="0" w:afterAutospacing="0"/>
        <w:ind w:left="1418" w:right="-709"/>
        <w:jc w:val="both"/>
        <w:rPr>
          <w:sz w:val="20"/>
          <w:szCs w:val="20"/>
        </w:rPr>
      </w:pPr>
      <w:r w:rsidRPr="00C7520D">
        <w:rPr>
          <w:sz w:val="20"/>
          <w:szCs w:val="20"/>
        </w:rPr>
        <w:t>§ 4.º Quando o documento fiscal deixar de ser escriturado no prazo previsto na legislação, o contribuinte deverá, para aproveitamento do crédito extemporâneo, adotar os procedimentos previstos em ato do Secretário de Estado de Fazenda.</w:t>
      </w:r>
    </w:p>
    <w:p w:rsidR="00410B67" w:rsidRPr="00C7520D" w:rsidRDefault="00410B67" w:rsidP="00410B67">
      <w:pPr>
        <w:pStyle w:val="NormalWeb"/>
        <w:spacing w:before="0" w:beforeAutospacing="0" w:after="0" w:afterAutospacing="0"/>
        <w:ind w:left="1418" w:right="-709"/>
        <w:jc w:val="both"/>
        <w:rPr>
          <w:sz w:val="20"/>
          <w:szCs w:val="20"/>
        </w:rPr>
      </w:pPr>
    </w:p>
    <w:p w:rsidR="00C7520D" w:rsidRPr="00C7520D" w:rsidRDefault="00C7520D" w:rsidP="00410B67">
      <w:pPr>
        <w:pStyle w:val="NormalWeb"/>
        <w:spacing w:before="0" w:beforeAutospacing="0" w:after="0" w:afterAutospacing="0"/>
        <w:ind w:left="1418" w:right="-709"/>
        <w:jc w:val="both"/>
        <w:rPr>
          <w:sz w:val="20"/>
          <w:szCs w:val="20"/>
        </w:rPr>
      </w:pPr>
      <w:r w:rsidRPr="00C7520D">
        <w:rPr>
          <w:sz w:val="20"/>
          <w:szCs w:val="20"/>
        </w:rPr>
        <w:t>§ 5.º O procedimento previsto no § 4.º aplica-se, ainda, à hipótese em que o documento fiscal tiver sido escriturado sem crédito do ICMS e este for cabível.</w:t>
      </w:r>
      <w:proofErr w:type="gramStart"/>
      <w:r w:rsidRPr="00C7520D">
        <w:rPr>
          <w:sz w:val="20"/>
          <w:szCs w:val="20"/>
        </w:rPr>
        <w:t>”</w:t>
      </w:r>
      <w:proofErr w:type="gramEnd"/>
    </w:p>
    <w:p w:rsidR="00C7520D" w:rsidRDefault="00C7520D" w:rsidP="00410B67">
      <w:pPr>
        <w:spacing w:after="100" w:afterAutospacing="1"/>
        <w:ind w:right="-671" w:firstLine="432"/>
      </w:pPr>
      <w:r>
        <w:t xml:space="preserve"> </w:t>
      </w:r>
    </w:p>
    <w:p w:rsidR="00410B67" w:rsidRDefault="00410B67" w:rsidP="00410B67">
      <w:pPr>
        <w:spacing w:after="100" w:afterAutospacing="1"/>
        <w:ind w:right="-671" w:firstLine="432"/>
      </w:pPr>
      <w:r>
        <w:lastRenderedPageBreak/>
        <w:t xml:space="preserve">Nesses termos, considerando que o RICMS prevê que o </w:t>
      </w:r>
      <w:r w:rsidRPr="00410B67">
        <w:rPr>
          <w:i/>
        </w:rPr>
        <w:t>“procedimento previsto no § 4.º”</w:t>
      </w:r>
      <w:r w:rsidRPr="00410B67">
        <w:t xml:space="preserve"> </w:t>
      </w:r>
      <w:r>
        <w:t xml:space="preserve">também é aplicável </w:t>
      </w:r>
      <w:r w:rsidRPr="00410B67">
        <w:t>“à hipótese em que o documento fiscal tiver sido escriturado sem crédito do ICMS e este for cabível”,</w:t>
      </w:r>
      <w:r>
        <w:t xml:space="preserve"> entendo que na hipótese das notas fiscais de entrada já recebidas deve ser adotada a disciplina prevista na </w:t>
      </w:r>
      <w:r w:rsidR="00C7520D">
        <w:t>Resolução SEFAZ nº 202/2018</w:t>
      </w:r>
      <w:r>
        <w:t>.</w:t>
      </w:r>
    </w:p>
    <w:p w:rsidR="00410B67" w:rsidRDefault="00410B67" w:rsidP="00410B67">
      <w:pPr>
        <w:spacing w:after="100" w:afterAutospacing="1"/>
        <w:ind w:right="-671" w:firstLine="432"/>
      </w:pPr>
      <w:r>
        <w:t>Por outro lado, no que alude às</w:t>
      </w:r>
      <w:r w:rsidR="00AC4906">
        <w:t xml:space="preserve"> </w:t>
      </w:r>
      <w:r>
        <w:t>notas fiscais relativas às operações que ainda ocorrerão, entendo que, diante da inexistência de legislação expressa, aplica-se o disposto no art. 108 do Código Tributário Nacional, o qual dispõe:</w:t>
      </w:r>
    </w:p>
    <w:p w:rsidR="00410B67" w:rsidRDefault="00410B67" w:rsidP="00550BD3">
      <w:pPr>
        <w:pStyle w:val="NormalWeb"/>
        <w:spacing w:before="0" w:beforeAutospacing="0" w:after="0" w:afterAutospacing="0"/>
        <w:ind w:left="1275" w:right="-710"/>
        <w:jc w:val="both"/>
        <w:rPr>
          <w:sz w:val="20"/>
          <w:szCs w:val="20"/>
        </w:rPr>
      </w:pPr>
      <w:bookmarkStart w:id="0" w:name="art108"/>
      <w:bookmarkEnd w:id="0"/>
      <w:r w:rsidRPr="00410B67">
        <w:rPr>
          <w:sz w:val="20"/>
          <w:szCs w:val="20"/>
        </w:rPr>
        <w:t>Art. 108. Na ausência de disposição expressa, a autoridade competente para aplicar a legislação tributária utilizará sucessivamente, na ordem indicada:</w:t>
      </w:r>
    </w:p>
    <w:p w:rsidR="00410B67" w:rsidRDefault="00410B67" w:rsidP="00550BD3">
      <w:pPr>
        <w:pStyle w:val="NormalWeb"/>
        <w:spacing w:before="0" w:beforeAutospacing="0" w:after="0" w:afterAutospacing="0"/>
        <w:ind w:left="567" w:right="-710" w:firstLine="708"/>
        <w:rPr>
          <w:sz w:val="20"/>
          <w:szCs w:val="20"/>
        </w:rPr>
      </w:pPr>
      <w:bookmarkStart w:id="1" w:name="art108i"/>
      <w:bookmarkEnd w:id="1"/>
      <w:r w:rsidRPr="00410B67">
        <w:rPr>
          <w:sz w:val="20"/>
          <w:szCs w:val="20"/>
        </w:rPr>
        <w:t>I - a analogia;</w:t>
      </w:r>
    </w:p>
    <w:p w:rsidR="00410B67" w:rsidRDefault="00410B67" w:rsidP="00550BD3">
      <w:pPr>
        <w:pStyle w:val="NormalWeb"/>
        <w:spacing w:before="0" w:beforeAutospacing="0" w:after="0" w:afterAutospacing="0"/>
        <w:ind w:left="567" w:right="-710" w:firstLine="708"/>
        <w:rPr>
          <w:sz w:val="20"/>
          <w:szCs w:val="20"/>
        </w:rPr>
      </w:pPr>
      <w:bookmarkStart w:id="2" w:name="art108ii"/>
      <w:bookmarkEnd w:id="2"/>
      <w:r w:rsidRPr="00410B67">
        <w:rPr>
          <w:sz w:val="20"/>
          <w:szCs w:val="20"/>
        </w:rPr>
        <w:t>II - os princípios gerais de direito tributário;</w:t>
      </w:r>
    </w:p>
    <w:p w:rsidR="00410B67" w:rsidRDefault="00410B67" w:rsidP="00550BD3">
      <w:pPr>
        <w:pStyle w:val="NormalWeb"/>
        <w:spacing w:before="0" w:beforeAutospacing="0" w:after="0" w:afterAutospacing="0"/>
        <w:ind w:left="567" w:right="-710" w:firstLine="708"/>
        <w:rPr>
          <w:sz w:val="20"/>
          <w:szCs w:val="20"/>
        </w:rPr>
      </w:pPr>
      <w:bookmarkStart w:id="3" w:name="art108iii"/>
      <w:bookmarkEnd w:id="3"/>
      <w:r w:rsidRPr="00410B67">
        <w:rPr>
          <w:sz w:val="20"/>
          <w:szCs w:val="20"/>
        </w:rPr>
        <w:t>III - os princípios gerais de direito público;</w:t>
      </w:r>
    </w:p>
    <w:p w:rsidR="00410B67" w:rsidRDefault="00410B67" w:rsidP="00550BD3">
      <w:pPr>
        <w:pStyle w:val="NormalWeb"/>
        <w:spacing w:before="0" w:beforeAutospacing="0" w:after="0" w:afterAutospacing="0"/>
        <w:ind w:left="567" w:right="-710" w:firstLine="708"/>
        <w:rPr>
          <w:sz w:val="20"/>
          <w:szCs w:val="20"/>
        </w:rPr>
      </w:pPr>
      <w:bookmarkStart w:id="4" w:name="art107iv"/>
      <w:bookmarkEnd w:id="4"/>
      <w:r w:rsidRPr="00410B67">
        <w:rPr>
          <w:sz w:val="20"/>
          <w:szCs w:val="20"/>
        </w:rPr>
        <w:t xml:space="preserve">IV - a </w:t>
      </w:r>
      <w:proofErr w:type="spellStart"/>
      <w:r w:rsidRPr="00410B67">
        <w:rPr>
          <w:sz w:val="20"/>
          <w:szCs w:val="20"/>
        </w:rPr>
        <w:t>eqüidade</w:t>
      </w:r>
      <w:proofErr w:type="spellEnd"/>
      <w:r w:rsidRPr="00410B67">
        <w:rPr>
          <w:sz w:val="20"/>
          <w:szCs w:val="20"/>
        </w:rPr>
        <w:t>.</w:t>
      </w:r>
    </w:p>
    <w:p w:rsidR="00410B67" w:rsidRDefault="00410B67" w:rsidP="00550BD3">
      <w:pPr>
        <w:pStyle w:val="NormalWeb"/>
        <w:spacing w:before="0" w:beforeAutospacing="0" w:after="0" w:afterAutospacing="0"/>
        <w:ind w:left="1275" w:right="-710"/>
        <w:rPr>
          <w:sz w:val="20"/>
          <w:szCs w:val="20"/>
        </w:rPr>
      </w:pPr>
      <w:bookmarkStart w:id="5" w:name="art108§1"/>
      <w:bookmarkEnd w:id="5"/>
      <w:r w:rsidRPr="00410B67">
        <w:rPr>
          <w:sz w:val="20"/>
          <w:szCs w:val="20"/>
        </w:rPr>
        <w:t>§ 1º O emprego da analogia não poderá resultar na exigência de tributo não previsto em lei.</w:t>
      </w:r>
    </w:p>
    <w:p w:rsidR="00410B67" w:rsidRDefault="00410B67" w:rsidP="00EB7872">
      <w:pPr>
        <w:pStyle w:val="NormalWeb"/>
        <w:spacing w:before="0" w:beforeAutospacing="0" w:after="0" w:afterAutospacing="0"/>
        <w:ind w:left="1275"/>
        <w:rPr>
          <w:sz w:val="20"/>
          <w:szCs w:val="20"/>
        </w:rPr>
      </w:pPr>
      <w:bookmarkStart w:id="6" w:name="art108§2"/>
      <w:bookmarkEnd w:id="6"/>
      <w:r w:rsidRPr="00410B67">
        <w:rPr>
          <w:sz w:val="20"/>
          <w:szCs w:val="20"/>
        </w:rPr>
        <w:t xml:space="preserve">§ 2º O emprego da </w:t>
      </w:r>
      <w:proofErr w:type="spellStart"/>
      <w:r w:rsidRPr="00410B67">
        <w:rPr>
          <w:sz w:val="20"/>
          <w:szCs w:val="20"/>
        </w:rPr>
        <w:t>eqüidade</w:t>
      </w:r>
      <w:proofErr w:type="spellEnd"/>
      <w:r w:rsidRPr="00410B67">
        <w:rPr>
          <w:sz w:val="20"/>
          <w:szCs w:val="20"/>
        </w:rPr>
        <w:t xml:space="preserve"> não poderá resultar na dispensa do pagamento de tributo devido.</w:t>
      </w:r>
    </w:p>
    <w:p w:rsidR="00550BD3" w:rsidRDefault="00410B67" w:rsidP="00550BD3">
      <w:pPr>
        <w:spacing w:after="100" w:afterAutospacing="1"/>
        <w:ind w:right="-671" w:firstLine="432"/>
        <w:rPr>
          <w:sz w:val="2"/>
        </w:rPr>
      </w:pPr>
      <w:r>
        <w:t xml:space="preserve"> </w:t>
      </w:r>
    </w:p>
    <w:p w:rsidR="00550BD3" w:rsidRPr="00550BD3" w:rsidRDefault="00550BD3" w:rsidP="00550BD3">
      <w:pPr>
        <w:spacing w:after="100" w:afterAutospacing="1"/>
        <w:ind w:right="-671" w:firstLine="432"/>
        <w:rPr>
          <w:sz w:val="2"/>
        </w:rPr>
      </w:pPr>
      <w:r w:rsidRPr="009602C6">
        <w:t xml:space="preserve">Acerca da analogia ensina Miguel </w:t>
      </w:r>
      <w:proofErr w:type="spellStart"/>
      <w:r w:rsidRPr="009602C6">
        <w:t>Reale</w:t>
      </w:r>
      <w:proofErr w:type="spellEnd"/>
      <w:r w:rsidR="0061692E">
        <w:rPr>
          <w:rStyle w:val="Refdenotaderodap"/>
          <w:rFonts w:ascii="Helvetica" w:eastAsia="Times New Roman" w:hAnsi="Helvetica"/>
          <w:color w:val="333333"/>
          <w:sz w:val="21"/>
          <w:szCs w:val="21"/>
          <w:lang w:eastAsia="pt-BR"/>
        </w:rPr>
        <w:footnoteReference w:id="1"/>
      </w:r>
      <w:r w:rsidRPr="00550BD3">
        <w:rPr>
          <w:rFonts w:ascii="Helvetica" w:eastAsia="Times New Roman" w:hAnsi="Helvetica"/>
          <w:color w:val="333333"/>
          <w:sz w:val="21"/>
          <w:szCs w:val="21"/>
          <w:lang w:eastAsia="pt-BR"/>
        </w:rPr>
        <w:t>:</w:t>
      </w:r>
    </w:p>
    <w:p w:rsidR="00550BD3" w:rsidRPr="00550BD3" w:rsidRDefault="00550BD3" w:rsidP="00550BD3">
      <w:pPr>
        <w:widowControl/>
        <w:autoSpaceDE/>
        <w:autoSpaceDN/>
        <w:spacing w:after="150"/>
        <w:ind w:left="1416" w:right="-71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50BD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</w:t>
      </w:r>
      <w:hyperlink r:id="rId9" w:history="1">
        <w:r w:rsidRPr="00550BD3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processo</w:t>
        </w:r>
      </w:hyperlink>
      <w:r w:rsidRPr="00550BD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analógico é no fundo um raciocínio baseado em razões relevantes de similitude. Quando encontramos uma forma de conduta não disciplinada especificamente por normas ou regras que lhe sejam próprias, consideramos razoável subordiná-la aos preceitos que regem relações semelhantes, mas cuja similitude coincida em pontos essenciais.</w:t>
      </w:r>
    </w:p>
    <w:p w:rsidR="0061692E" w:rsidRDefault="00550BD3" w:rsidP="00EB7872">
      <w:pPr>
        <w:spacing w:after="100" w:afterAutospacing="1"/>
        <w:ind w:right="-671" w:firstLine="432"/>
      </w:pPr>
      <w:r>
        <w:t>No Estado do Rio de Janeiro, a</w:t>
      </w:r>
      <w:r w:rsidR="006A6A08" w:rsidRPr="006A6A08">
        <w:t xml:space="preserve"> nota fiscal de devolução deve ser emitida com a mesma base de cálculo e a mesma alíquota constante do documento fiscal que acobertou a remessa da mercadoria, em relação ao imposto próprio, de acordo com o artigo 35 do Anexo XIII da Parte II da Resolução SEFAZ nº 720/14. A base de cálculo de retenção e o imposto retido também </w:t>
      </w:r>
      <w:r w:rsidR="006A6A08" w:rsidRPr="00FF2381">
        <w:rPr>
          <w:b/>
          <w:u w:val="single"/>
        </w:rPr>
        <w:t>devem ser informados nos campos próprios da NF-e</w:t>
      </w:r>
      <w:r w:rsidR="006A6A08" w:rsidRPr="006A6A08">
        <w:t>, nos termos do § 4º do artigo 35 acima citado.</w:t>
      </w:r>
      <w:r>
        <w:t xml:space="preserve"> </w:t>
      </w:r>
    </w:p>
    <w:p w:rsidR="0061692E" w:rsidRDefault="0061692E" w:rsidP="00EB7872">
      <w:pPr>
        <w:spacing w:after="100" w:afterAutospacing="1"/>
        <w:ind w:right="-671" w:firstLine="432"/>
      </w:pPr>
      <w:r>
        <w:t xml:space="preserve">Na hipótese de </w:t>
      </w:r>
      <w:r w:rsidRPr="0061692E">
        <w:t>erro no destaque do imposto, devem ser observados os artigos 32</w:t>
      </w:r>
      <w:r>
        <w:t xml:space="preserve"> e 33 do Livro I do RICMS-RJ/00. O mencionado artigo 32 do Livro I do RICMS/00 estabelece:</w:t>
      </w:r>
    </w:p>
    <w:p w:rsidR="0061692E" w:rsidRPr="0061692E" w:rsidRDefault="0061692E" w:rsidP="0061692E">
      <w:pPr>
        <w:pStyle w:val="NormalWeb"/>
        <w:spacing w:before="0" w:beforeAutospacing="0" w:after="0" w:afterAutospacing="0"/>
        <w:ind w:left="1416" w:right="-710"/>
        <w:jc w:val="both"/>
        <w:rPr>
          <w:sz w:val="20"/>
          <w:szCs w:val="20"/>
        </w:rPr>
      </w:pPr>
      <w:r w:rsidRPr="0061692E">
        <w:rPr>
          <w:sz w:val="20"/>
          <w:szCs w:val="20"/>
        </w:rPr>
        <w:t>Art. 32. O valor do imposto destacado no documento fiscal, relativo à operação de que decorrer a entrada da mercadoria, é meramente informativo, cumprindo ao contribuinte conferir sua exatidão.</w:t>
      </w:r>
    </w:p>
    <w:p w:rsidR="0061692E" w:rsidRPr="0061692E" w:rsidRDefault="0061692E" w:rsidP="0061692E">
      <w:pPr>
        <w:pStyle w:val="NormalWeb"/>
        <w:spacing w:before="0" w:beforeAutospacing="0" w:after="0" w:afterAutospacing="0"/>
        <w:ind w:left="1416" w:right="-710"/>
        <w:jc w:val="both"/>
        <w:rPr>
          <w:sz w:val="20"/>
          <w:szCs w:val="20"/>
        </w:rPr>
      </w:pPr>
      <w:r w:rsidRPr="0061692E">
        <w:rPr>
          <w:sz w:val="20"/>
          <w:szCs w:val="20"/>
        </w:rPr>
        <w:t>§ 1.º Se o destaque se apresentar em valor inferior ao correto, o contribuinte creditar-se-á, inicialmente, pelo valor destacado, exigindo do remetente documento fiscal relativo à diferença havida, para creditar-se do valor restante.</w:t>
      </w:r>
    </w:p>
    <w:p w:rsidR="0061692E" w:rsidRPr="0061692E" w:rsidRDefault="0061692E" w:rsidP="0061692E">
      <w:pPr>
        <w:pStyle w:val="NormalWeb"/>
        <w:spacing w:before="0" w:beforeAutospacing="0" w:after="0" w:afterAutospacing="0"/>
        <w:ind w:left="1416" w:right="-710"/>
        <w:jc w:val="both"/>
        <w:rPr>
          <w:sz w:val="20"/>
          <w:szCs w:val="20"/>
        </w:rPr>
      </w:pPr>
      <w:r w:rsidRPr="0061692E">
        <w:rPr>
          <w:b/>
          <w:sz w:val="20"/>
          <w:szCs w:val="20"/>
          <w:u w:val="single"/>
        </w:rPr>
        <w:t>§ 2.º Na ausência de destaque, o contribuinte exigirá do remetente documento fiscal suplementar</w:t>
      </w:r>
      <w:r w:rsidRPr="0061692E">
        <w:rPr>
          <w:sz w:val="20"/>
          <w:szCs w:val="20"/>
        </w:rPr>
        <w:t>.</w:t>
      </w:r>
    </w:p>
    <w:p w:rsidR="0061692E" w:rsidRPr="00873E96" w:rsidRDefault="0061692E" w:rsidP="0061692E">
      <w:pPr>
        <w:spacing w:after="100" w:afterAutospacing="1"/>
        <w:ind w:left="432" w:right="-671" w:firstLine="276"/>
        <w:rPr>
          <w:sz w:val="14"/>
        </w:rPr>
      </w:pPr>
    </w:p>
    <w:p w:rsidR="00873E96" w:rsidRDefault="0061692E" w:rsidP="0061692E">
      <w:pPr>
        <w:spacing w:after="100" w:afterAutospacing="1"/>
        <w:ind w:right="-671" w:firstLine="708"/>
      </w:pPr>
      <w:r>
        <w:lastRenderedPageBreak/>
        <w:t xml:space="preserve">Considerando que </w:t>
      </w:r>
      <w:r w:rsidR="009602C6">
        <w:t xml:space="preserve">em operação interestadual </w:t>
      </w:r>
      <w:r>
        <w:t xml:space="preserve">o remetente se subordina ao disposto na legislação do Estado de </w:t>
      </w:r>
      <w:r w:rsidR="00FF2381">
        <w:t>origem da remessa</w:t>
      </w:r>
      <w:r w:rsidR="009602C6">
        <w:t>,</w:t>
      </w:r>
      <w:r>
        <w:t xml:space="preserve"> </w:t>
      </w:r>
      <w:r w:rsidR="00873E96">
        <w:t xml:space="preserve">não é possível aplicar o transcrito </w:t>
      </w:r>
      <w:r w:rsidR="00873E96" w:rsidRPr="00873E96">
        <w:t>§ 2.º</w:t>
      </w:r>
      <w:r w:rsidR="00873E96">
        <w:t xml:space="preserve"> do art. 32 do Livro I do RICMS/00, haja vista a autonomia do Estado do Paraná para disciplinar a matéria em seu território, onde se localiza o remetente que realiza a devolução.</w:t>
      </w:r>
      <w:r w:rsidR="00FF2381">
        <w:t xml:space="preserve"> Inaplicável</w:t>
      </w:r>
      <w:r w:rsidR="009602C6">
        <w:t>, portanto,</w:t>
      </w:r>
      <w:r w:rsidR="00FF2381">
        <w:t xml:space="preserve"> a analogia à hipótese, deve-se recorrer aos </w:t>
      </w:r>
      <w:r w:rsidR="00FF2381" w:rsidRPr="00FF2381">
        <w:t>os princípios gerais de direito tributário</w:t>
      </w:r>
      <w:r w:rsidR="00FF2381">
        <w:t xml:space="preserve">.  </w:t>
      </w:r>
    </w:p>
    <w:p w:rsidR="006537DE" w:rsidRDefault="00873E96" w:rsidP="006537DE">
      <w:pPr>
        <w:spacing w:after="100" w:afterAutospacing="1"/>
        <w:ind w:right="-671" w:firstLine="708"/>
      </w:pPr>
      <w:r>
        <w:t xml:space="preserve">Nesses termos, considerando o </w:t>
      </w:r>
      <w:r w:rsidRPr="006537DE">
        <w:rPr>
          <w:b/>
          <w:u w:val="single"/>
        </w:rPr>
        <w:t>princípio da não cumulatividade</w:t>
      </w:r>
      <w:r>
        <w:t xml:space="preserve"> que norteia o ICMS, a teor do disposto no inciso I do §2º do art. 155 da Constituição da República Federativa do Brasil, </w:t>
      </w:r>
      <w:r w:rsidR="006537DE">
        <w:t xml:space="preserve">e tendo em vista que o ICMS é </w:t>
      </w:r>
      <w:r w:rsidR="006537DE" w:rsidRPr="00FF2381">
        <w:rPr>
          <w:b/>
          <w:u w:val="single"/>
        </w:rPr>
        <w:t>imposto lançado por homologação</w:t>
      </w:r>
      <w:r w:rsidR="006537DE">
        <w:t xml:space="preserve">, consoante o disposto no art. 150 do Código Tributário Nacional, </w:t>
      </w:r>
      <w:r>
        <w:t xml:space="preserve">parece-me que a solução mais adequada ao caso é subordinar o crédito imediato do imposto </w:t>
      </w:r>
      <w:r w:rsidR="006537DE">
        <w:t xml:space="preserve">pelo contribuinte fluminense </w:t>
      </w:r>
      <w:r>
        <w:t xml:space="preserve">a </w:t>
      </w:r>
      <w:r w:rsidR="007A349A">
        <w:t>dois</w:t>
      </w:r>
      <w:r>
        <w:t xml:space="preserve"> </w:t>
      </w:r>
      <w:r w:rsidR="00321F39">
        <w:t xml:space="preserve">grupos de </w:t>
      </w:r>
      <w:r w:rsidR="007A349A">
        <w:t>requisitos</w:t>
      </w:r>
      <w:r>
        <w:t>, cumulativ</w:t>
      </w:r>
      <w:r w:rsidR="00321F39">
        <w:t>amente</w:t>
      </w:r>
      <w:r w:rsidR="006537DE">
        <w:t>.</w:t>
      </w:r>
      <w:r w:rsidR="0086529E">
        <w:t xml:space="preserve"> Isso porque, nos termos do art. 34 da Lei nº 2.657/96 </w:t>
      </w:r>
      <w:r w:rsidR="0086529E" w:rsidRPr="0086529E">
        <w:rPr>
          <w:i/>
        </w:rPr>
        <w:t>“o direito ao crédito é condicionado à idoneidade da documentação e à sua regular escrituração, nos prazos e condições estabelecidos na legislação”</w:t>
      </w:r>
      <w:r w:rsidR="0086529E">
        <w:t>.</w:t>
      </w:r>
    </w:p>
    <w:p w:rsidR="000052D8" w:rsidRDefault="007A349A" w:rsidP="00FF2381">
      <w:pPr>
        <w:pStyle w:val="Default"/>
        <w:ind w:right="-710"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</w:t>
      </w:r>
      <w:r w:rsidR="00873E96" w:rsidRPr="006537DE">
        <w:rPr>
          <w:color w:val="auto"/>
          <w:sz w:val="22"/>
          <w:szCs w:val="22"/>
        </w:rPr>
        <w:t>primeir</w:t>
      </w:r>
      <w:r w:rsidR="00321F39">
        <w:rPr>
          <w:color w:val="auto"/>
          <w:sz w:val="22"/>
          <w:szCs w:val="22"/>
        </w:rPr>
        <w:t>o</w:t>
      </w:r>
      <w:r w:rsidR="00873E96" w:rsidRPr="006537DE">
        <w:rPr>
          <w:color w:val="auto"/>
          <w:sz w:val="22"/>
          <w:szCs w:val="22"/>
        </w:rPr>
        <w:t>,</w:t>
      </w:r>
      <w:r w:rsidR="00B81CFC">
        <w:rPr>
          <w:color w:val="auto"/>
          <w:sz w:val="22"/>
          <w:szCs w:val="22"/>
        </w:rPr>
        <w:t xml:space="preserve"> no sentido de</w:t>
      </w:r>
      <w:r w:rsidR="00873E96" w:rsidRPr="006537DE">
        <w:rPr>
          <w:color w:val="auto"/>
          <w:sz w:val="22"/>
          <w:szCs w:val="22"/>
        </w:rPr>
        <w:t xml:space="preserve"> que a nota fiscal </w:t>
      </w:r>
      <w:r w:rsidR="006537DE" w:rsidRPr="006537DE">
        <w:rPr>
          <w:color w:val="auto"/>
          <w:sz w:val="22"/>
          <w:szCs w:val="22"/>
        </w:rPr>
        <w:t>NF-e de devolução de mercadoria informe o</w:t>
      </w:r>
      <w:r w:rsidR="006537DE">
        <w:rPr>
          <w:color w:val="auto"/>
          <w:sz w:val="22"/>
          <w:szCs w:val="22"/>
        </w:rPr>
        <w:t xml:space="preserve"> d</w:t>
      </w:r>
      <w:r w:rsidR="006537DE" w:rsidRPr="006537DE">
        <w:rPr>
          <w:color w:val="auto"/>
          <w:sz w:val="22"/>
          <w:szCs w:val="22"/>
        </w:rPr>
        <w:t xml:space="preserve">ocumento </w:t>
      </w:r>
      <w:r w:rsidR="00FF2381">
        <w:rPr>
          <w:color w:val="auto"/>
          <w:sz w:val="22"/>
          <w:szCs w:val="22"/>
        </w:rPr>
        <w:t>relativo à remessa original</w:t>
      </w:r>
      <w:r w:rsidR="006537DE" w:rsidRPr="006537DE">
        <w:rPr>
          <w:color w:val="auto"/>
          <w:sz w:val="22"/>
          <w:szCs w:val="22"/>
        </w:rPr>
        <w:t xml:space="preserve">, isto é, </w:t>
      </w:r>
      <w:r w:rsidR="009602C6">
        <w:rPr>
          <w:color w:val="auto"/>
          <w:sz w:val="22"/>
          <w:szCs w:val="22"/>
        </w:rPr>
        <w:t xml:space="preserve">que </w:t>
      </w:r>
      <w:r w:rsidR="00FF2381">
        <w:rPr>
          <w:color w:val="auto"/>
          <w:sz w:val="22"/>
          <w:szCs w:val="22"/>
        </w:rPr>
        <w:t xml:space="preserve">haja </w:t>
      </w:r>
      <w:r w:rsidR="00FF2381" w:rsidRPr="000052D8">
        <w:rPr>
          <w:color w:val="auto"/>
          <w:sz w:val="22"/>
          <w:szCs w:val="22"/>
          <w:u w:val="single"/>
        </w:rPr>
        <w:t>referência expressa à NF-e inicialmente emitida</w:t>
      </w:r>
      <w:r w:rsidR="00FF2381">
        <w:rPr>
          <w:color w:val="auto"/>
          <w:sz w:val="22"/>
          <w:szCs w:val="22"/>
        </w:rPr>
        <w:t xml:space="preserve"> pelo contribuinte fluminense</w:t>
      </w:r>
      <w:r w:rsidR="00B81CFC">
        <w:rPr>
          <w:color w:val="auto"/>
          <w:sz w:val="22"/>
          <w:szCs w:val="22"/>
        </w:rPr>
        <w:t xml:space="preserve">, </w:t>
      </w:r>
      <w:r w:rsidR="00B81CFC" w:rsidRPr="000052D8">
        <w:rPr>
          <w:color w:val="auto"/>
          <w:sz w:val="22"/>
          <w:szCs w:val="22"/>
          <w:u w:val="single"/>
        </w:rPr>
        <w:t>além</w:t>
      </w:r>
      <w:r w:rsidR="00B81CFC">
        <w:rPr>
          <w:color w:val="auto"/>
          <w:sz w:val="22"/>
          <w:szCs w:val="22"/>
        </w:rPr>
        <w:t xml:space="preserve"> de conter no campo Informações </w:t>
      </w:r>
      <w:r w:rsidR="000052D8">
        <w:rPr>
          <w:color w:val="auto"/>
          <w:sz w:val="22"/>
          <w:szCs w:val="22"/>
        </w:rPr>
        <w:t>Adicionais do Produto (1)</w:t>
      </w:r>
      <w:r w:rsidR="00B81CFC">
        <w:rPr>
          <w:color w:val="auto"/>
          <w:sz w:val="22"/>
          <w:szCs w:val="22"/>
        </w:rPr>
        <w:t xml:space="preserve"> </w:t>
      </w:r>
      <w:r w:rsidR="00B81CFC" w:rsidRPr="00FF2381">
        <w:rPr>
          <w:i/>
          <w:color w:val="auto"/>
          <w:sz w:val="22"/>
          <w:szCs w:val="22"/>
        </w:rPr>
        <w:t>“o motivo da devolução”</w:t>
      </w:r>
      <w:r w:rsidR="000052D8">
        <w:rPr>
          <w:i/>
          <w:color w:val="auto"/>
          <w:sz w:val="22"/>
          <w:szCs w:val="22"/>
        </w:rPr>
        <w:t xml:space="preserve">, </w:t>
      </w:r>
      <w:r w:rsidR="000052D8" w:rsidRPr="000052D8">
        <w:rPr>
          <w:color w:val="auto"/>
          <w:sz w:val="22"/>
          <w:szCs w:val="22"/>
        </w:rPr>
        <w:t>(2)</w:t>
      </w:r>
      <w:r w:rsidR="000052D8">
        <w:rPr>
          <w:i/>
          <w:color w:val="auto"/>
          <w:sz w:val="22"/>
          <w:szCs w:val="22"/>
        </w:rPr>
        <w:t xml:space="preserve"> </w:t>
      </w:r>
      <w:r w:rsidR="00B81CFC" w:rsidRPr="00B81CFC">
        <w:rPr>
          <w:color w:val="auto"/>
          <w:sz w:val="22"/>
          <w:szCs w:val="22"/>
        </w:rPr>
        <w:t xml:space="preserve">o </w:t>
      </w:r>
      <w:r w:rsidR="00B81CFC" w:rsidRPr="00FF2381">
        <w:rPr>
          <w:i/>
          <w:color w:val="auto"/>
          <w:sz w:val="22"/>
          <w:szCs w:val="22"/>
        </w:rPr>
        <w:t>“</w:t>
      </w:r>
      <w:r w:rsidR="00FF2381">
        <w:rPr>
          <w:i/>
          <w:color w:val="auto"/>
          <w:sz w:val="22"/>
          <w:szCs w:val="22"/>
        </w:rPr>
        <w:t>p</w:t>
      </w:r>
      <w:r w:rsidR="00B81CFC" w:rsidRPr="00FF2381">
        <w:rPr>
          <w:i/>
          <w:color w:val="auto"/>
          <w:sz w:val="22"/>
          <w:szCs w:val="22"/>
        </w:rPr>
        <w:t>ercentual da mercadoria devolvida”</w:t>
      </w:r>
      <w:r w:rsidR="000052D8">
        <w:rPr>
          <w:i/>
          <w:color w:val="auto"/>
          <w:sz w:val="22"/>
          <w:szCs w:val="22"/>
        </w:rPr>
        <w:t xml:space="preserve"> </w:t>
      </w:r>
      <w:r w:rsidR="000052D8" w:rsidRPr="000052D8">
        <w:rPr>
          <w:color w:val="auto"/>
          <w:sz w:val="22"/>
          <w:szCs w:val="22"/>
        </w:rPr>
        <w:t>e</w:t>
      </w:r>
      <w:r w:rsidR="000052D8">
        <w:rPr>
          <w:i/>
          <w:color w:val="auto"/>
          <w:sz w:val="22"/>
          <w:szCs w:val="22"/>
        </w:rPr>
        <w:t xml:space="preserve"> </w:t>
      </w:r>
      <w:r w:rsidR="000052D8" w:rsidRPr="000052D8">
        <w:rPr>
          <w:color w:val="auto"/>
          <w:sz w:val="22"/>
          <w:szCs w:val="22"/>
        </w:rPr>
        <w:t>(3)</w:t>
      </w:r>
      <w:r w:rsidR="000052D8">
        <w:rPr>
          <w:i/>
          <w:color w:val="auto"/>
          <w:sz w:val="22"/>
          <w:szCs w:val="22"/>
        </w:rPr>
        <w:t xml:space="preserve"> </w:t>
      </w:r>
      <w:r w:rsidR="000052D8" w:rsidRPr="000052D8">
        <w:rPr>
          <w:color w:val="auto"/>
          <w:sz w:val="22"/>
          <w:szCs w:val="22"/>
          <w:u w:val="single"/>
        </w:rPr>
        <w:t xml:space="preserve">o montante do ICMS </w:t>
      </w:r>
      <w:r w:rsidR="000052D8">
        <w:rPr>
          <w:color w:val="auto"/>
          <w:sz w:val="22"/>
          <w:szCs w:val="22"/>
          <w:u w:val="single"/>
        </w:rPr>
        <w:t>correspondente à m</w:t>
      </w:r>
      <w:r w:rsidR="000052D8" w:rsidRPr="000052D8">
        <w:rPr>
          <w:color w:val="auto"/>
          <w:sz w:val="22"/>
          <w:szCs w:val="22"/>
          <w:u w:val="single"/>
        </w:rPr>
        <w:t>ercadori</w:t>
      </w:r>
      <w:r w:rsidR="000052D8">
        <w:rPr>
          <w:color w:val="auto"/>
          <w:sz w:val="22"/>
          <w:szCs w:val="22"/>
          <w:u w:val="single"/>
        </w:rPr>
        <w:t>a devolvida</w:t>
      </w:r>
      <w:r w:rsidR="00B81CFC">
        <w:rPr>
          <w:color w:val="auto"/>
          <w:sz w:val="22"/>
          <w:szCs w:val="22"/>
        </w:rPr>
        <w:t xml:space="preserve">. </w:t>
      </w:r>
      <w:r w:rsidR="006537DE">
        <w:rPr>
          <w:color w:val="auto"/>
          <w:sz w:val="22"/>
          <w:szCs w:val="22"/>
        </w:rPr>
        <w:t xml:space="preserve"> </w:t>
      </w:r>
    </w:p>
    <w:p w:rsidR="000052D8" w:rsidRDefault="000052D8" w:rsidP="00FF2381">
      <w:pPr>
        <w:pStyle w:val="Default"/>
        <w:ind w:right="-710" w:firstLine="708"/>
        <w:jc w:val="both"/>
        <w:rPr>
          <w:color w:val="auto"/>
          <w:sz w:val="22"/>
          <w:szCs w:val="22"/>
        </w:rPr>
      </w:pPr>
    </w:p>
    <w:p w:rsidR="00FF2381" w:rsidRDefault="006537DE" w:rsidP="00FF2381">
      <w:pPr>
        <w:pStyle w:val="Default"/>
        <w:ind w:right="-710"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efeito, o próprio </w:t>
      </w:r>
      <w:r w:rsidRPr="006537DE">
        <w:rPr>
          <w:color w:val="auto"/>
          <w:sz w:val="22"/>
          <w:szCs w:val="22"/>
        </w:rPr>
        <w:t>Manual de Orientação do Contribuinte</w:t>
      </w:r>
      <w:r>
        <w:rPr>
          <w:color w:val="auto"/>
          <w:sz w:val="22"/>
          <w:szCs w:val="22"/>
        </w:rPr>
        <w:t xml:space="preserve"> (MOC)</w:t>
      </w:r>
      <w:r w:rsidRPr="006537D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indica como aplicação obrigatória a mensagem 321</w:t>
      </w:r>
      <w:r w:rsidR="009602C6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de rejeição para </w:t>
      </w:r>
      <w:r w:rsidRPr="006537DE">
        <w:rPr>
          <w:color w:val="auto"/>
          <w:sz w:val="22"/>
          <w:szCs w:val="22"/>
        </w:rPr>
        <w:t xml:space="preserve">NF-e de devolução de mercadoria </w:t>
      </w:r>
      <w:r>
        <w:rPr>
          <w:color w:val="auto"/>
          <w:sz w:val="22"/>
          <w:szCs w:val="22"/>
        </w:rPr>
        <w:t xml:space="preserve">que </w:t>
      </w:r>
      <w:r w:rsidRPr="006537DE">
        <w:rPr>
          <w:color w:val="auto"/>
          <w:sz w:val="22"/>
          <w:szCs w:val="22"/>
        </w:rPr>
        <w:t>não possu</w:t>
      </w:r>
      <w:r>
        <w:rPr>
          <w:color w:val="auto"/>
          <w:sz w:val="22"/>
          <w:szCs w:val="22"/>
        </w:rPr>
        <w:t>a o</w:t>
      </w:r>
      <w:r w:rsidRPr="006537DE">
        <w:rPr>
          <w:color w:val="auto"/>
          <w:sz w:val="22"/>
          <w:szCs w:val="22"/>
        </w:rPr>
        <w:t xml:space="preserve"> documento fiscal referenciado</w:t>
      </w:r>
      <w:r>
        <w:rPr>
          <w:rStyle w:val="Refdenotaderodap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. </w:t>
      </w:r>
      <w:r w:rsidR="00B81CFC">
        <w:rPr>
          <w:color w:val="auto"/>
          <w:sz w:val="22"/>
          <w:szCs w:val="22"/>
        </w:rPr>
        <w:t>Na mesma linha</w:t>
      </w:r>
      <w:r w:rsidR="00FF2381">
        <w:rPr>
          <w:color w:val="auto"/>
          <w:sz w:val="22"/>
          <w:szCs w:val="22"/>
        </w:rPr>
        <w:t xml:space="preserve">, o MOC também estabelece a obrigatoriedade de </w:t>
      </w:r>
      <w:r w:rsidR="009602C6">
        <w:rPr>
          <w:color w:val="auto"/>
          <w:sz w:val="22"/>
          <w:szCs w:val="22"/>
        </w:rPr>
        <w:t xml:space="preserve">o remetente </w:t>
      </w:r>
      <w:r w:rsidR="00FF2381">
        <w:rPr>
          <w:color w:val="auto"/>
          <w:sz w:val="22"/>
          <w:szCs w:val="22"/>
        </w:rPr>
        <w:t>informar o percentual de mercadoria devolvida</w:t>
      </w:r>
      <w:r w:rsidR="00FF2381">
        <w:rPr>
          <w:rStyle w:val="Refdenotaderodap"/>
          <w:color w:val="auto"/>
          <w:sz w:val="22"/>
          <w:szCs w:val="22"/>
        </w:rPr>
        <w:footnoteReference w:id="3"/>
      </w:r>
      <w:r w:rsidR="00FF2381">
        <w:rPr>
          <w:color w:val="auto"/>
          <w:sz w:val="22"/>
          <w:szCs w:val="22"/>
        </w:rPr>
        <w:t>.</w:t>
      </w:r>
    </w:p>
    <w:p w:rsidR="00FF2381" w:rsidRDefault="00FF2381" w:rsidP="00FF2381">
      <w:pPr>
        <w:pStyle w:val="Default"/>
        <w:ind w:right="-710" w:firstLine="708"/>
        <w:jc w:val="both"/>
        <w:rPr>
          <w:color w:val="auto"/>
          <w:sz w:val="22"/>
          <w:szCs w:val="22"/>
        </w:rPr>
      </w:pPr>
    </w:p>
    <w:p w:rsidR="007E7CAD" w:rsidRPr="00321F39" w:rsidRDefault="007A349A" w:rsidP="007E7CAD">
      <w:pPr>
        <w:pStyle w:val="Default"/>
        <w:ind w:right="-710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>
        <w:rPr>
          <w:color w:val="auto"/>
          <w:sz w:val="22"/>
          <w:szCs w:val="22"/>
        </w:rPr>
        <w:t>O</w:t>
      </w:r>
      <w:r w:rsidR="00FF2381">
        <w:rPr>
          <w:color w:val="auto"/>
          <w:sz w:val="22"/>
          <w:szCs w:val="22"/>
        </w:rPr>
        <w:t xml:space="preserve"> segund</w:t>
      </w:r>
      <w:r>
        <w:rPr>
          <w:color w:val="auto"/>
          <w:sz w:val="22"/>
          <w:szCs w:val="22"/>
        </w:rPr>
        <w:t>o</w:t>
      </w:r>
      <w:r w:rsidR="000052D8">
        <w:rPr>
          <w:color w:val="auto"/>
          <w:sz w:val="22"/>
          <w:szCs w:val="22"/>
        </w:rPr>
        <w:t xml:space="preserve"> </w:t>
      </w:r>
      <w:r w:rsidR="00321F39">
        <w:rPr>
          <w:color w:val="auto"/>
          <w:sz w:val="22"/>
          <w:szCs w:val="22"/>
        </w:rPr>
        <w:t xml:space="preserve">grupo de </w:t>
      </w:r>
      <w:r>
        <w:rPr>
          <w:color w:val="auto"/>
          <w:sz w:val="22"/>
          <w:szCs w:val="22"/>
        </w:rPr>
        <w:t>requisito</w:t>
      </w:r>
      <w:r w:rsidR="00321F39">
        <w:rPr>
          <w:color w:val="auto"/>
          <w:sz w:val="22"/>
          <w:szCs w:val="22"/>
        </w:rPr>
        <w:t>s</w:t>
      </w:r>
      <w:r w:rsidR="000052D8">
        <w:rPr>
          <w:color w:val="auto"/>
          <w:sz w:val="22"/>
          <w:szCs w:val="22"/>
        </w:rPr>
        <w:t xml:space="preserve"> é lançar, mensalmente, na Escrituração Fiscal Digital (EFD), no </w:t>
      </w:r>
      <w:r w:rsidR="00C96F29">
        <w:rPr>
          <w:color w:val="auto"/>
          <w:sz w:val="22"/>
          <w:szCs w:val="22"/>
        </w:rPr>
        <w:t>“</w:t>
      </w:r>
      <w:r w:rsidR="000052D8">
        <w:rPr>
          <w:color w:val="auto"/>
          <w:sz w:val="22"/>
          <w:szCs w:val="22"/>
        </w:rPr>
        <w:t>Registro C110</w:t>
      </w:r>
      <w:r w:rsidR="00C96F29">
        <w:rPr>
          <w:color w:val="auto"/>
          <w:sz w:val="22"/>
          <w:szCs w:val="22"/>
        </w:rPr>
        <w:t>” e “filhos”</w:t>
      </w:r>
      <w:r w:rsidR="000052D8">
        <w:rPr>
          <w:color w:val="auto"/>
          <w:sz w:val="22"/>
          <w:szCs w:val="22"/>
        </w:rPr>
        <w:t xml:space="preserve">, os dados contidos no </w:t>
      </w:r>
      <w:proofErr w:type="gramStart"/>
      <w:r w:rsidR="000052D8">
        <w:rPr>
          <w:color w:val="auto"/>
          <w:sz w:val="22"/>
          <w:szCs w:val="22"/>
        </w:rPr>
        <w:t>campo “Informações Complementares da Nota Fiscal</w:t>
      </w:r>
      <w:r w:rsidR="00FC3075">
        <w:rPr>
          <w:color w:val="auto"/>
          <w:sz w:val="22"/>
          <w:szCs w:val="22"/>
        </w:rPr>
        <w:t xml:space="preserve">” </w:t>
      </w:r>
      <w:r w:rsidR="00C96F29">
        <w:rPr>
          <w:color w:val="auto"/>
          <w:sz w:val="22"/>
          <w:szCs w:val="22"/>
        </w:rPr>
        <w:t>acima referidos</w:t>
      </w:r>
      <w:proofErr w:type="gramEnd"/>
      <w:r w:rsidR="00C96F29">
        <w:rPr>
          <w:color w:val="auto"/>
          <w:sz w:val="22"/>
          <w:szCs w:val="22"/>
        </w:rPr>
        <w:t xml:space="preserve"> (1, 2 e 3)</w:t>
      </w:r>
      <w:r w:rsidR="007E7CAD">
        <w:rPr>
          <w:color w:val="auto"/>
          <w:sz w:val="22"/>
          <w:szCs w:val="22"/>
        </w:rPr>
        <w:t>.</w:t>
      </w:r>
    </w:p>
    <w:p w:rsidR="00426FA1" w:rsidRDefault="00321F39" w:rsidP="007E7CAD">
      <w:pPr>
        <w:pStyle w:val="Default"/>
        <w:ind w:left="1416" w:right="-710"/>
        <w:jc w:val="both"/>
      </w:pPr>
      <w:r w:rsidRPr="00321F39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.</w:t>
      </w:r>
    </w:p>
    <w:p w:rsidR="0086529E" w:rsidRDefault="009602C6" w:rsidP="007A349A">
      <w:pPr>
        <w:ind w:right="-671" w:firstLine="708"/>
      </w:pPr>
      <w:r>
        <w:t>Atendidos esses requisitos</w:t>
      </w:r>
      <w:r w:rsidR="00321F39">
        <w:t>,</w:t>
      </w:r>
      <w:r>
        <w:t xml:space="preserve"> </w:t>
      </w:r>
      <w:r w:rsidR="0086529E">
        <w:t>entendo</w:t>
      </w:r>
      <w:r>
        <w:t xml:space="preserve"> que o contribuinte fluminense </w:t>
      </w:r>
      <w:r w:rsidR="0086529E">
        <w:t>está apto a</w:t>
      </w:r>
      <w:r>
        <w:t xml:space="preserve"> se creditar do ICMS indicado no campo “Informações Adicionais do Produto” da </w:t>
      </w:r>
      <w:proofErr w:type="spellStart"/>
      <w:proofErr w:type="gramStart"/>
      <w:r>
        <w:t>NFe</w:t>
      </w:r>
      <w:proofErr w:type="spellEnd"/>
      <w:proofErr w:type="gramEnd"/>
      <w:r>
        <w:t xml:space="preserve"> de devolução. </w:t>
      </w:r>
    </w:p>
    <w:p w:rsidR="0086529E" w:rsidRDefault="0086529E" w:rsidP="007A349A">
      <w:pPr>
        <w:ind w:right="-671" w:firstLine="708"/>
      </w:pPr>
    </w:p>
    <w:p w:rsidR="007E7CAD" w:rsidRDefault="009602C6" w:rsidP="007A349A">
      <w:pPr>
        <w:ind w:right="-671" w:firstLine="708"/>
      </w:pPr>
      <w:r>
        <w:t>Com efeito, o argumento</w:t>
      </w:r>
      <w:r w:rsidR="0086529E">
        <w:t xml:space="preserve"> corretamente utilizado</w:t>
      </w:r>
      <w:r>
        <w:t xml:space="preserve"> </w:t>
      </w:r>
      <w:r w:rsidR="0086529E">
        <w:t xml:space="preserve">pelo Fisco, </w:t>
      </w:r>
      <w:r w:rsidR="0086529E" w:rsidRPr="0086529E">
        <w:rPr>
          <w:u w:val="single"/>
        </w:rPr>
        <w:t>como regra geral</w:t>
      </w:r>
      <w:r w:rsidR="0086529E">
        <w:t xml:space="preserve">, </w:t>
      </w:r>
      <w:r>
        <w:t xml:space="preserve">no sentido de que </w:t>
      </w:r>
      <w:r w:rsidR="0086529E">
        <w:t xml:space="preserve">o crédito subordina-se ao destaque do imposto na nota fiscal de aquisição (emitida pelo fornecedor) deve ser interpretado à luz do caso concreto e, diante das circunstâncias ora descritas, parece-me inaplicável a regra mencionada no </w:t>
      </w:r>
      <w:r w:rsidR="0086529E" w:rsidRPr="00873E96">
        <w:t>§ 2.º</w:t>
      </w:r>
      <w:r w:rsidR="0086529E">
        <w:t xml:space="preserve"> do art. 32 do Livro I do RICMS/00. Nessa linha, repise-se que, </w:t>
      </w:r>
      <w:r w:rsidR="000B403C">
        <w:t xml:space="preserve">de acordo com o art. 34 da Lei nº 2.657/96 </w:t>
      </w:r>
      <w:r w:rsidR="0086529E">
        <w:t xml:space="preserve">constatada a </w:t>
      </w:r>
      <w:r w:rsidR="000B403C">
        <w:t>“</w:t>
      </w:r>
      <w:r w:rsidR="0086529E" w:rsidRPr="0086529E">
        <w:rPr>
          <w:i/>
        </w:rPr>
        <w:t>idoneidade da documentação e à sua regular escrituração, nos prazos e condições estabelecidos na legislação</w:t>
      </w:r>
      <w:r w:rsidR="000B403C">
        <w:rPr>
          <w:i/>
        </w:rPr>
        <w:t>”</w:t>
      </w:r>
      <w:r w:rsidR="0086529E">
        <w:rPr>
          <w:i/>
        </w:rPr>
        <w:t xml:space="preserve"> </w:t>
      </w:r>
      <w:r w:rsidR="0086529E" w:rsidRPr="000B403C">
        <w:t>o contribuinte</w:t>
      </w:r>
      <w:r w:rsidR="0086529E">
        <w:rPr>
          <w:i/>
        </w:rPr>
        <w:t xml:space="preserve"> </w:t>
      </w:r>
      <w:r w:rsidR="0086529E" w:rsidRPr="000B403C">
        <w:t>tem</w:t>
      </w:r>
      <w:r w:rsidR="0086529E">
        <w:rPr>
          <w:i/>
        </w:rPr>
        <w:t xml:space="preserve"> </w:t>
      </w:r>
      <w:r w:rsidR="000B403C">
        <w:rPr>
          <w:i/>
        </w:rPr>
        <w:t>“</w:t>
      </w:r>
      <w:r w:rsidR="0086529E">
        <w:rPr>
          <w:i/>
        </w:rPr>
        <w:t>direito ao crédito</w:t>
      </w:r>
      <w:r w:rsidR="000B403C">
        <w:rPr>
          <w:i/>
        </w:rPr>
        <w:t>”</w:t>
      </w:r>
      <w:r w:rsidR="0086529E">
        <w:rPr>
          <w:i/>
        </w:rPr>
        <w:t xml:space="preserve"> </w:t>
      </w:r>
      <w:r w:rsidR="0086529E" w:rsidRPr="000B403C">
        <w:t>do imposto</w:t>
      </w:r>
      <w:r w:rsidR="000B403C">
        <w:t xml:space="preserve"> que foi objeto de incidência e pagamento em etapa de circulação anterior, como é a hipótese de que trata a tese do presente administrativo.</w:t>
      </w:r>
    </w:p>
    <w:p w:rsidR="009602C6" w:rsidRDefault="0086529E" w:rsidP="007A349A">
      <w:pPr>
        <w:ind w:right="-671" w:firstLine="708"/>
      </w:pPr>
      <w:r>
        <w:lastRenderedPageBreak/>
        <w:t xml:space="preserve"> </w:t>
      </w:r>
    </w:p>
    <w:p w:rsidR="007A349A" w:rsidRDefault="007A349A" w:rsidP="007A349A">
      <w:pPr>
        <w:ind w:right="-671" w:firstLine="708"/>
      </w:pPr>
      <w:r w:rsidRPr="007A349A">
        <w:t xml:space="preserve">Por todo o exposto, entendo que o contribuinte fluminense substituto tributário que recebe mercadoria em devolução de unidade federada que proíba o destaque do imposto na </w:t>
      </w:r>
      <w:proofErr w:type="spellStart"/>
      <w:proofErr w:type="gramStart"/>
      <w:r w:rsidRPr="007A349A">
        <w:t>NFe</w:t>
      </w:r>
      <w:proofErr w:type="spellEnd"/>
      <w:proofErr w:type="gramEnd"/>
      <w:r w:rsidRPr="007A349A">
        <w:t xml:space="preserve"> tem direito ao crédito do ICMS relativo à operação própria</w:t>
      </w:r>
      <w:r>
        <w:t xml:space="preserve">, observados os requisitos acima indicados, </w:t>
      </w:r>
      <w:r w:rsidRPr="007A349A">
        <w:t>sob condição resolutória, tendo em vista tratar-se de tributo não-cumulativo lançado por homologação</w:t>
      </w:r>
      <w:r w:rsidR="000B403C">
        <w:t>.</w:t>
      </w:r>
    </w:p>
    <w:p w:rsidR="000B403C" w:rsidRDefault="000B403C" w:rsidP="007A349A">
      <w:pPr>
        <w:ind w:right="-671" w:firstLine="708"/>
      </w:pPr>
    </w:p>
    <w:p w:rsidR="000B403C" w:rsidRDefault="000B403C" w:rsidP="007A349A">
      <w:pPr>
        <w:ind w:right="-671" w:firstLine="708"/>
      </w:pPr>
      <w:r>
        <w:t>Assim, respondendo objetivamente às perguntas formuladas na inicial:</w:t>
      </w:r>
    </w:p>
    <w:p w:rsidR="000B403C" w:rsidRDefault="000B403C" w:rsidP="007A349A">
      <w:pPr>
        <w:ind w:right="-671" w:firstLine="708"/>
      </w:pPr>
    </w:p>
    <w:p w:rsidR="000B403C" w:rsidRDefault="000B403C" w:rsidP="000B403C">
      <w:pPr>
        <w:ind w:right="-671" w:firstLine="432"/>
      </w:pPr>
    </w:p>
    <w:p w:rsidR="000B403C" w:rsidRPr="000B403C" w:rsidRDefault="000B403C" w:rsidP="000B403C">
      <w:pPr>
        <w:pStyle w:val="PargrafodaLista"/>
        <w:numPr>
          <w:ilvl w:val="0"/>
          <w:numId w:val="4"/>
        </w:numPr>
        <w:ind w:right="-671"/>
        <w:rPr>
          <w:sz w:val="20"/>
        </w:rPr>
      </w:pPr>
      <w:r w:rsidRPr="000B403C">
        <w:rPr>
          <w:sz w:val="20"/>
        </w:rPr>
        <w:t>“Nas devoluções de mercadorias sujeitas à Substituição Tributária, o contribuinte substituto com sede no Estado do Rio de Janeiro poderá se apropriar do crédito de ICMS relativo à devolução de mercadoria por pessoa jurídica que, em razão do disposto na legislação estadual de sua unidade federada, não emite Nota Fiscal com destaque do imposto?”</w:t>
      </w:r>
    </w:p>
    <w:p w:rsidR="000B403C" w:rsidRDefault="000B403C" w:rsidP="000B403C">
      <w:pPr>
        <w:pStyle w:val="PargrafodaLista"/>
        <w:ind w:left="1152" w:right="-671"/>
        <w:rPr>
          <w:b/>
          <w:sz w:val="20"/>
        </w:rPr>
      </w:pPr>
    </w:p>
    <w:p w:rsidR="000B403C" w:rsidRDefault="000B403C" w:rsidP="000B403C">
      <w:pPr>
        <w:pStyle w:val="PargrafodaLista"/>
        <w:ind w:left="1152" w:right="-671"/>
        <w:rPr>
          <w:b/>
          <w:sz w:val="20"/>
        </w:rPr>
      </w:pPr>
      <w:r>
        <w:rPr>
          <w:b/>
          <w:sz w:val="20"/>
        </w:rPr>
        <w:t xml:space="preserve">Sim, </w:t>
      </w:r>
      <w:r w:rsidRPr="000B403C">
        <w:rPr>
          <w:b/>
          <w:sz w:val="20"/>
          <w:u w:val="single"/>
        </w:rPr>
        <w:t>desde que</w:t>
      </w:r>
      <w:r>
        <w:rPr>
          <w:b/>
          <w:sz w:val="20"/>
        </w:rPr>
        <w:t>:</w:t>
      </w:r>
    </w:p>
    <w:p w:rsidR="000B403C" w:rsidRPr="000B403C" w:rsidRDefault="000B403C" w:rsidP="000B403C">
      <w:pPr>
        <w:pStyle w:val="PargrafodaLista"/>
        <w:numPr>
          <w:ilvl w:val="0"/>
          <w:numId w:val="5"/>
        </w:numPr>
        <w:ind w:right="-671"/>
        <w:rPr>
          <w:b/>
          <w:sz w:val="20"/>
        </w:rPr>
      </w:pPr>
      <w:proofErr w:type="gramStart"/>
      <w:r w:rsidRPr="006537DE">
        <w:t>a</w:t>
      </w:r>
      <w:proofErr w:type="gramEnd"/>
      <w:r w:rsidRPr="006537DE">
        <w:t xml:space="preserve"> nota fiscal NF-e de devolução de mercadoria informe o</w:t>
      </w:r>
      <w:r>
        <w:t xml:space="preserve"> d</w:t>
      </w:r>
      <w:r w:rsidRPr="006537DE">
        <w:t xml:space="preserve">ocumento </w:t>
      </w:r>
      <w:r>
        <w:t>relativo à remessa original</w:t>
      </w:r>
      <w:r w:rsidRPr="006537DE">
        <w:t xml:space="preserve">, isto é, </w:t>
      </w:r>
      <w:r>
        <w:t xml:space="preserve">que haja </w:t>
      </w:r>
      <w:r w:rsidRPr="000052D8">
        <w:rPr>
          <w:u w:val="single"/>
        </w:rPr>
        <w:t>referência expressa à NF-e inicialmente emitida</w:t>
      </w:r>
      <w:r>
        <w:t xml:space="preserve"> pelo contribuinte fluminense, </w:t>
      </w:r>
      <w:r w:rsidRPr="000052D8">
        <w:rPr>
          <w:u w:val="single"/>
        </w:rPr>
        <w:t>além</w:t>
      </w:r>
      <w:r>
        <w:t xml:space="preserve"> de conter no campo Informações Adicionais do Produto (1) </w:t>
      </w:r>
      <w:r w:rsidRPr="00FF2381">
        <w:rPr>
          <w:i/>
        </w:rPr>
        <w:t>“o motivo da devolução”</w:t>
      </w:r>
      <w:r>
        <w:rPr>
          <w:i/>
        </w:rPr>
        <w:t xml:space="preserve">, </w:t>
      </w:r>
      <w:r w:rsidRPr="000052D8">
        <w:t>(2)</w:t>
      </w:r>
      <w:r>
        <w:rPr>
          <w:i/>
        </w:rPr>
        <w:t xml:space="preserve"> </w:t>
      </w:r>
      <w:r w:rsidRPr="00B81CFC">
        <w:t xml:space="preserve">o </w:t>
      </w:r>
      <w:r w:rsidRPr="00FF2381">
        <w:rPr>
          <w:i/>
        </w:rPr>
        <w:t>“</w:t>
      </w:r>
      <w:r>
        <w:rPr>
          <w:i/>
        </w:rPr>
        <w:t>p</w:t>
      </w:r>
      <w:r w:rsidRPr="00FF2381">
        <w:rPr>
          <w:i/>
        </w:rPr>
        <w:t>ercentual da mercadoria devolvida”</w:t>
      </w:r>
      <w:r>
        <w:rPr>
          <w:i/>
        </w:rPr>
        <w:t xml:space="preserve"> </w:t>
      </w:r>
      <w:r w:rsidRPr="000052D8">
        <w:t>e</w:t>
      </w:r>
      <w:r>
        <w:rPr>
          <w:i/>
        </w:rPr>
        <w:t xml:space="preserve"> </w:t>
      </w:r>
      <w:r w:rsidRPr="000052D8">
        <w:t>(3)</w:t>
      </w:r>
      <w:r>
        <w:rPr>
          <w:i/>
        </w:rPr>
        <w:t xml:space="preserve"> </w:t>
      </w:r>
      <w:r w:rsidRPr="000052D8">
        <w:rPr>
          <w:u w:val="single"/>
        </w:rPr>
        <w:t xml:space="preserve">o montante do ICMS </w:t>
      </w:r>
      <w:r>
        <w:rPr>
          <w:u w:val="single"/>
        </w:rPr>
        <w:t>correspondente à m</w:t>
      </w:r>
      <w:r w:rsidRPr="000052D8">
        <w:rPr>
          <w:u w:val="single"/>
        </w:rPr>
        <w:t>ercadori</w:t>
      </w:r>
      <w:r>
        <w:rPr>
          <w:u w:val="single"/>
        </w:rPr>
        <w:t>a devolvida</w:t>
      </w:r>
      <w:r>
        <w:t>; e</w:t>
      </w:r>
    </w:p>
    <w:p w:rsidR="000B403C" w:rsidRDefault="000B403C" w:rsidP="000B403C">
      <w:pPr>
        <w:pStyle w:val="PargrafodaLista"/>
        <w:numPr>
          <w:ilvl w:val="0"/>
          <w:numId w:val="5"/>
        </w:numPr>
        <w:ind w:right="-671"/>
        <w:rPr>
          <w:b/>
          <w:sz w:val="20"/>
        </w:rPr>
      </w:pPr>
      <w:proofErr w:type="gramStart"/>
      <w:r>
        <w:t>o</w:t>
      </w:r>
      <w:proofErr w:type="gramEnd"/>
      <w:r>
        <w:t xml:space="preserve"> contribuinte lance, mensalmente, na Escrituração Fiscal Digital (EFD), no “Registro C110” e “filhos”, os dados contidos no campo “Informações Complementares da Nota Fiscal” acima referidos (1, 2 e 3).</w:t>
      </w:r>
    </w:p>
    <w:p w:rsidR="000B403C" w:rsidRPr="000B403C" w:rsidRDefault="000B403C" w:rsidP="000B403C">
      <w:pPr>
        <w:pStyle w:val="PargrafodaLista"/>
        <w:ind w:left="1152" w:right="-671"/>
        <w:rPr>
          <w:sz w:val="20"/>
        </w:rPr>
      </w:pPr>
    </w:p>
    <w:p w:rsidR="000B403C" w:rsidRPr="000B403C" w:rsidRDefault="000B403C" w:rsidP="000B403C">
      <w:pPr>
        <w:pStyle w:val="PargrafodaLista"/>
        <w:numPr>
          <w:ilvl w:val="0"/>
          <w:numId w:val="4"/>
        </w:numPr>
        <w:ind w:right="-671"/>
        <w:rPr>
          <w:sz w:val="20"/>
        </w:rPr>
      </w:pPr>
      <w:r w:rsidRPr="000B403C">
        <w:rPr>
          <w:sz w:val="20"/>
        </w:rPr>
        <w:t xml:space="preserve">Entendendo-se pela impossibilidade de </w:t>
      </w:r>
      <w:proofErr w:type="spellStart"/>
      <w:r w:rsidRPr="000B403C">
        <w:rPr>
          <w:sz w:val="20"/>
        </w:rPr>
        <w:t>creditamento</w:t>
      </w:r>
      <w:proofErr w:type="spellEnd"/>
      <w:r w:rsidRPr="000B403C">
        <w:rPr>
          <w:sz w:val="20"/>
        </w:rPr>
        <w:t xml:space="preserve">, tal entendimento não acarretaria a violação </w:t>
      </w:r>
      <w:proofErr w:type="gramStart"/>
      <w:r w:rsidRPr="000B403C">
        <w:rPr>
          <w:sz w:val="20"/>
        </w:rPr>
        <w:t>à</w:t>
      </w:r>
      <w:proofErr w:type="gramEnd"/>
      <w:r w:rsidRPr="000B403C">
        <w:rPr>
          <w:sz w:val="20"/>
        </w:rPr>
        <w:t xml:space="preserve"> não-cumulatividade?</w:t>
      </w:r>
    </w:p>
    <w:p w:rsidR="000B403C" w:rsidRDefault="000B403C" w:rsidP="000B403C">
      <w:pPr>
        <w:pStyle w:val="PargrafodaLista"/>
        <w:ind w:left="1152" w:right="-671"/>
        <w:rPr>
          <w:b/>
          <w:sz w:val="20"/>
        </w:rPr>
      </w:pPr>
    </w:p>
    <w:p w:rsidR="000B403C" w:rsidRPr="000B403C" w:rsidRDefault="000B403C" w:rsidP="000B403C">
      <w:pPr>
        <w:pStyle w:val="PargrafodaLista"/>
        <w:ind w:left="1152" w:right="-671"/>
        <w:rPr>
          <w:b/>
          <w:sz w:val="20"/>
        </w:rPr>
      </w:pPr>
      <w:r w:rsidRPr="000B403C">
        <w:rPr>
          <w:b/>
          <w:sz w:val="20"/>
        </w:rPr>
        <w:t>Prejudicada.</w:t>
      </w:r>
    </w:p>
    <w:p w:rsidR="000B403C" w:rsidRPr="003B6B0E" w:rsidRDefault="000B403C" w:rsidP="000B403C">
      <w:pPr>
        <w:pStyle w:val="PargrafodaLista"/>
        <w:ind w:left="1152" w:right="-671"/>
        <w:rPr>
          <w:b/>
          <w:sz w:val="20"/>
        </w:rPr>
      </w:pPr>
    </w:p>
    <w:p w:rsidR="000B403C" w:rsidRDefault="000B403C" w:rsidP="000B403C">
      <w:pPr>
        <w:pStyle w:val="PargrafodaLista"/>
        <w:numPr>
          <w:ilvl w:val="0"/>
          <w:numId w:val="4"/>
        </w:numPr>
        <w:ind w:right="-671"/>
        <w:rPr>
          <w:b/>
          <w:sz w:val="20"/>
        </w:rPr>
      </w:pPr>
      <w:r w:rsidRPr="003B6B0E">
        <w:rPr>
          <w:b/>
          <w:sz w:val="20"/>
        </w:rPr>
        <w:t xml:space="preserve">Do contrário, entendendo-se pela possibilidade de </w:t>
      </w:r>
      <w:proofErr w:type="spellStart"/>
      <w:r w:rsidRPr="003B6B0E">
        <w:rPr>
          <w:b/>
          <w:sz w:val="20"/>
        </w:rPr>
        <w:t>creditamento</w:t>
      </w:r>
      <w:proofErr w:type="spellEnd"/>
      <w:r w:rsidRPr="003B6B0E">
        <w:rPr>
          <w:b/>
          <w:sz w:val="20"/>
        </w:rPr>
        <w:t>, como deverá ser registrado o crédito na escrita fiscal</w:t>
      </w:r>
      <w:r>
        <w:rPr>
          <w:b/>
          <w:sz w:val="20"/>
        </w:rPr>
        <w:t>?</w:t>
      </w:r>
      <w:proofErr w:type="gramStart"/>
      <w:r w:rsidRPr="003B6B0E">
        <w:rPr>
          <w:b/>
          <w:sz w:val="20"/>
        </w:rPr>
        <w:t>”</w:t>
      </w:r>
    </w:p>
    <w:p w:rsidR="00321F39" w:rsidRDefault="00321F39" w:rsidP="00321F39">
      <w:pPr>
        <w:pStyle w:val="PargrafodaLista"/>
        <w:ind w:left="1152" w:right="-671"/>
        <w:rPr>
          <w:b/>
          <w:sz w:val="20"/>
        </w:rPr>
      </w:pPr>
      <w:proofErr w:type="gramEnd"/>
    </w:p>
    <w:p w:rsidR="00321F39" w:rsidRPr="007E7CAD" w:rsidRDefault="007E7CAD" w:rsidP="00321F39">
      <w:pPr>
        <w:pStyle w:val="PargrafodaLista"/>
        <w:ind w:left="1152" w:right="-671"/>
        <w:rPr>
          <w:b/>
          <w:sz w:val="20"/>
        </w:rPr>
      </w:pPr>
      <w:r w:rsidRPr="007E7CAD">
        <w:rPr>
          <w:b/>
        </w:rPr>
        <w:t xml:space="preserve">Respondida no item “b” da resposta </w:t>
      </w:r>
      <w:proofErr w:type="gramStart"/>
      <w:r w:rsidRPr="007E7CAD">
        <w:rPr>
          <w:b/>
        </w:rPr>
        <w:t>1</w:t>
      </w:r>
      <w:proofErr w:type="gramEnd"/>
      <w:r w:rsidRPr="007E7CAD">
        <w:rPr>
          <w:b/>
        </w:rPr>
        <w:t>.</w:t>
      </w:r>
    </w:p>
    <w:p w:rsidR="000B403C" w:rsidRDefault="000B403C" w:rsidP="007A349A">
      <w:pPr>
        <w:ind w:right="-671" w:firstLine="708"/>
      </w:pPr>
    </w:p>
    <w:p w:rsidR="003119BF" w:rsidRDefault="003119BF" w:rsidP="009C1605">
      <w:pPr>
        <w:ind w:right="-671" w:firstLine="432"/>
      </w:pPr>
    </w:p>
    <w:p w:rsidR="009C1605" w:rsidRPr="009C1605" w:rsidRDefault="009C1605" w:rsidP="00E36BD8">
      <w:pPr>
        <w:ind w:right="-671" w:firstLine="432"/>
        <w:jc w:val="center"/>
      </w:pPr>
      <w:r w:rsidRPr="009C1605">
        <w:t>CCJT, em</w:t>
      </w:r>
      <w:proofErr w:type="gramStart"/>
      <w:r w:rsidRPr="009C1605">
        <w:t xml:space="preserve">  </w:t>
      </w:r>
      <w:proofErr w:type="gramEnd"/>
      <w:r w:rsidRPr="009C1605">
        <w:t xml:space="preserve">de            </w:t>
      </w:r>
      <w:proofErr w:type="spellStart"/>
      <w:r w:rsidRPr="009C1605">
        <w:t>de</w:t>
      </w:r>
      <w:proofErr w:type="spellEnd"/>
      <w:r w:rsidRPr="009C1605">
        <w:t xml:space="preserve"> 201</w:t>
      </w:r>
      <w:r w:rsidR="00312711">
        <w:t>9</w:t>
      </w:r>
      <w:r w:rsidRPr="009C1605">
        <w:t>.</w:t>
      </w:r>
    </w:p>
    <w:p w:rsidR="009C1605" w:rsidRPr="009C1605" w:rsidRDefault="009C1605" w:rsidP="009C1605">
      <w:pPr>
        <w:ind w:right="-671" w:firstLine="432"/>
      </w:pPr>
    </w:p>
    <w:p w:rsidR="009C1605" w:rsidRPr="009C1605" w:rsidRDefault="009C1605" w:rsidP="009C1605">
      <w:pPr>
        <w:ind w:right="-671" w:firstLine="432"/>
        <w:jc w:val="center"/>
      </w:pPr>
    </w:p>
    <w:sectPr w:rsidR="009C1605" w:rsidRPr="009C1605" w:rsidSect="00CF2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37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BF" w:rsidRDefault="001213BF" w:rsidP="001B1CDD">
      <w:r>
        <w:separator/>
      </w:r>
    </w:p>
  </w:endnote>
  <w:endnote w:type="continuationSeparator" w:id="0">
    <w:p w:rsidR="001213BF" w:rsidRDefault="001213BF" w:rsidP="001B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59" w:rsidRDefault="00CF2E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59" w:rsidRDefault="00CF2E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59" w:rsidRDefault="00CF2E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BF" w:rsidRDefault="001213BF" w:rsidP="001B1CDD">
      <w:r>
        <w:separator/>
      </w:r>
    </w:p>
  </w:footnote>
  <w:footnote w:type="continuationSeparator" w:id="0">
    <w:p w:rsidR="001213BF" w:rsidRDefault="001213BF" w:rsidP="001B1CDD">
      <w:r>
        <w:continuationSeparator/>
      </w:r>
    </w:p>
  </w:footnote>
  <w:footnote w:id="1">
    <w:p w:rsidR="001213BF" w:rsidRPr="0061692E" w:rsidRDefault="001213BF">
      <w:pPr>
        <w:pStyle w:val="Textodenotaderodap"/>
        <w:rPr>
          <w:rFonts w:ascii="Times New Roman" w:hAnsi="Times New Roman" w:cs="Times New Roman"/>
        </w:rPr>
      </w:pPr>
      <w:r w:rsidRPr="0061692E">
        <w:rPr>
          <w:rStyle w:val="Refdenotaderodap"/>
          <w:rFonts w:ascii="Times New Roman" w:hAnsi="Times New Roman" w:cs="Times New Roman"/>
        </w:rPr>
        <w:footnoteRef/>
      </w:r>
      <w:r w:rsidRPr="0061692E">
        <w:rPr>
          <w:rFonts w:ascii="Times New Roman" w:hAnsi="Times New Roman" w:cs="Times New Roman"/>
        </w:rPr>
        <w:t xml:space="preserve"> REALE, Miguel. Lições preliminares de direito. 16. </w:t>
      </w:r>
      <w:proofErr w:type="gramStart"/>
      <w:r w:rsidRPr="0061692E">
        <w:rPr>
          <w:rFonts w:ascii="Times New Roman" w:hAnsi="Times New Roman" w:cs="Times New Roman"/>
        </w:rPr>
        <w:t>ed.</w:t>
      </w:r>
      <w:proofErr w:type="gramEnd"/>
      <w:r w:rsidRPr="0061692E">
        <w:rPr>
          <w:rFonts w:ascii="Times New Roman" w:hAnsi="Times New Roman" w:cs="Times New Roman"/>
        </w:rPr>
        <w:t xml:space="preserve"> São Paulo: Saraiva, 1988. </w:t>
      </w:r>
      <w:proofErr w:type="gramStart"/>
      <w:r w:rsidRPr="0061692E">
        <w:rPr>
          <w:rFonts w:ascii="Times New Roman" w:hAnsi="Times New Roman" w:cs="Times New Roman"/>
        </w:rPr>
        <w:t>p.</w:t>
      </w:r>
      <w:proofErr w:type="gramEnd"/>
      <w:r w:rsidRPr="0061692E">
        <w:rPr>
          <w:rFonts w:ascii="Times New Roman" w:hAnsi="Times New Roman" w:cs="Times New Roman"/>
        </w:rPr>
        <w:t xml:space="preserve"> 85.</w:t>
      </w:r>
    </w:p>
  </w:footnote>
  <w:footnote w:id="2">
    <w:p w:rsidR="001213BF" w:rsidRDefault="001213B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página</w:t>
      </w:r>
      <w:proofErr w:type="gramEnd"/>
      <w:r>
        <w:t xml:space="preserve"> 236 do MOC.</w:t>
      </w:r>
    </w:p>
  </w:footnote>
  <w:footnote w:id="3">
    <w:p w:rsidR="001213BF" w:rsidRDefault="001213B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página</w:t>
      </w:r>
      <w:proofErr w:type="gramEnd"/>
      <w:r>
        <w:t xml:space="preserve"> 219 do MOC.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59" w:rsidRDefault="00CF2E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10"/>
      <w:gridCol w:w="2765"/>
    </w:tblGrid>
    <w:tr w:rsidR="001213BF" w:rsidTr="001B1CDD">
      <w:trPr>
        <w:cantSplit/>
        <w:trHeight w:val="1180"/>
      </w:trPr>
      <w:tc>
        <w:tcPr>
          <w:tcW w:w="6307" w:type="dxa"/>
        </w:tcPr>
        <w:p w:rsidR="001213BF" w:rsidRDefault="001213BF">
          <w:pPr>
            <w:pStyle w:val="Cabealho"/>
            <w:spacing w:line="276" w:lineRule="auto"/>
            <w:ind w:left="1276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023DE"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11F2D10" wp14:editId="441081C3">
                <wp:extent cx="1371600" cy="1022795"/>
                <wp:effectExtent l="0" t="0" r="0" b="635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b="12022"/>
                        <a:stretch/>
                      </pic:blipFill>
                      <pic:spPr bwMode="auto">
                        <a:xfrm>
                          <a:off x="0" y="0"/>
                          <a:ext cx="1396548" cy="10413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213BF" w:rsidRPr="00411551" w:rsidRDefault="001213BF" w:rsidP="001B1CDD">
          <w:pPr>
            <w:ind w:left="851"/>
            <w:jc w:val="center"/>
            <w:rPr>
              <w:b/>
              <w:sz w:val="18"/>
              <w:szCs w:val="18"/>
            </w:rPr>
          </w:pPr>
          <w:r w:rsidRPr="00411551">
            <w:rPr>
              <w:b/>
              <w:sz w:val="18"/>
              <w:szCs w:val="18"/>
            </w:rPr>
            <w:t>Governo do Estado do Rio de Janeiro</w:t>
          </w:r>
        </w:p>
        <w:p w:rsidR="001213BF" w:rsidRPr="00411551" w:rsidRDefault="001213BF" w:rsidP="001B1CDD">
          <w:pPr>
            <w:ind w:left="851"/>
            <w:jc w:val="center"/>
            <w:rPr>
              <w:b/>
              <w:sz w:val="18"/>
              <w:szCs w:val="18"/>
            </w:rPr>
          </w:pPr>
          <w:r w:rsidRPr="00411551">
            <w:rPr>
              <w:b/>
              <w:sz w:val="18"/>
              <w:szCs w:val="18"/>
            </w:rPr>
            <w:t>Secretaria de Estado de Fazenda</w:t>
          </w:r>
        </w:p>
        <w:sdt>
          <w:sdtPr>
            <w:rPr>
              <w:b/>
              <w:sz w:val="18"/>
              <w:szCs w:val="18"/>
            </w:rPr>
            <w:alias w:val="Nome do órgão e hierarquia"/>
            <w:tag w:val="Nome do órgão e hierarquia"/>
            <w:id w:val="1759552385"/>
            <w:text/>
          </w:sdtPr>
          <w:sdtEndPr/>
          <w:sdtContent>
            <w:p w:rsidR="001213BF" w:rsidRPr="00411551" w:rsidRDefault="001213BF" w:rsidP="001B1CDD">
              <w:pPr>
                <w:ind w:left="851"/>
                <w:jc w:val="center"/>
                <w:rPr>
                  <w:b/>
                  <w:sz w:val="18"/>
                  <w:szCs w:val="18"/>
                </w:rPr>
              </w:pPr>
              <w:r w:rsidRPr="00411551">
                <w:rPr>
                  <w:b/>
                  <w:sz w:val="18"/>
                  <w:szCs w:val="18"/>
                </w:rPr>
                <w:t>Superintendência de Tributação</w:t>
              </w:r>
            </w:p>
          </w:sdtContent>
        </w:sdt>
        <w:p w:rsidR="001213BF" w:rsidRDefault="001213BF" w:rsidP="00044FFB">
          <w:pPr>
            <w:pStyle w:val="Cabealho"/>
            <w:spacing w:line="276" w:lineRule="auto"/>
            <w:ind w:left="851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63" w:type="dxa"/>
          <w:hideMark/>
        </w:tcPr>
        <w:tbl>
          <w:tblPr>
            <w:tblW w:w="2595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595"/>
          </w:tblGrid>
          <w:tr w:rsidR="001213BF">
            <w:trPr>
              <w:cantSplit/>
              <w:trHeight w:val="272"/>
            </w:trPr>
            <w:tc>
              <w:tcPr>
                <w:tcW w:w="2601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1213BF" w:rsidRDefault="001213BF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Serviço Público Estadual</w:t>
                </w:r>
              </w:p>
            </w:tc>
          </w:tr>
          <w:tr w:rsidR="001213BF">
            <w:trPr>
              <w:cantSplit/>
              <w:trHeight w:val="273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1213BF" w:rsidRPr="009C1605" w:rsidRDefault="001213BF">
                <w:pPr>
                  <w:rPr>
                    <w:sz w:val="20"/>
                    <w:szCs w:val="20"/>
                  </w:rPr>
                </w:pPr>
                <w:r w:rsidRPr="009C1605">
                  <w:rPr>
                    <w:sz w:val="20"/>
                    <w:szCs w:val="20"/>
                  </w:rPr>
                  <w:t xml:space="preserve">Proc. </w:t>
                </w:r>
                <w:r w:rsidR="001A399E" w:rsidRPr="00090857">
                  <w:rPr>
                    <w:sz w:val="20"/>
                    <w:szCs w:val="20"/>
                  </w:rPr>
                  <w:t>E-04-079-585-2018</w:t>
                </w:r>
              </w:p>
              <w:p w:rsidR="001213BF" w:rsidRPr="00833515" w:rsidRDefault="001213BF">
                <w:pPr>
                  <w:rPr>
                    <w:szCs w:val="20"/>
                  </w:rPr>
                </w:pPr>
              </w:p>
            </w:tc>
          </w:tr>
          <w:tr w:rsidR="001213BF">
            <w:trPr>
              <w:cantSplit/>
              <w:trHeight w:val="272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1213BF" w:rsidRPr="009C1605" w:rsidRDefault="001213BF">
                <w:pPr>
                  <w:rPr>
                    <w:sz w:val="20"/>
                    <w:szCs w:val="20"/>
                  </w:rPr>
                </w:pPr>
                <w:r w:rsidRPr="009C1605">
                  <w:rPr>
                    <w:sz w:val="20"/>
                    <w:szCs w:val="20"/>
                  </w:rPr>
                  <w:t xml:space="preserve">Data: </w:t>
                </w:r>
                <w:r w:rsidR="001A399E">
                  <w:rPr>
                    <w:sz w:val="20"/>
                    <w:szCs w:val="20"/>
                  </w:rPr>
                  <w:t>16/02/2018</w:t>
                </w:r>
                <w:r w:rsidR="001A399E" w:rsidRPr="009C1605">
                  <w:rPr>
                    <w:sz w:val="20"/>
                    <w:szCs w:val="20"/>
                  </w:rPr>
                  <w:t xml:space="preserve"> </w:t>
                </w:r>
                <w:r w:rsidRPr="009C1605">
                  <w:rPr>
                    <w:sz w:val="20"/>
                    <w:szCs w:val="20"/>
                  </w:rPr>
                  <w:t xml:space="preserve">- </w:t>
                </w:r>
                <w:proofErr w:type="spellStart"/>
                <w:r w:rsidRPr="009C1605">
                  <w:rPr>
                    <w:sz w:val="20"/>
                    <w:szCs w:val="20"/>
                  </w:rPr>
                  <w:t>Fls</w:t>
                </w:r>
                <w:proofErr w:type="spellEnd"/>
                <w:r w:rsidRPr="009C1605">
                  <w:rPr>
                    <w:sz w:val="20"/>
                    <w:szCs w:val="20"/>
                  </w:rPr>
                  <w:t xml:space="preserve">: </w:t>
                </w:r>
                <w:r w:rsidRPr="009C1605">
                  <w:rPr>
                    <w:sz w:val="20"/>
                    <w:szCs w:val="20"/>
                  </w:rPr>
                  <w:fldChar w:fldCharType="begin"/>
                </w:r>
                <w:r w:rsidRPr="009C1605">
                  <w:rPr>
                    <w:sz w:val="20"/>
                    <w:szCs w:val="20"/>
                  </w:rPr>
                  <w:instrText>PAGE   \* MERGEFORMAT</w:instrText>
                </w:r>
                <w:r w:rsidRPr="009C1605">
                  <w:rPr>
                    <w:sz w:val="20"/>
                    <w:szCs w:val="20"/>
                  </w:rPr>
                  <w:fldChar w:fldCharType="separate"/>
                </w:r>
                <w:r w:rsidR="00CF2E59">
                  <w:rPr>
                    <w:noProof/>
                    <w:sz w:val="20"/>
                    <w:szCs w:val="20"/>
                  </w:rPr>
                  <w:t>43</w:t>
                </w:r>
                <w:r w:rsidRPr="009C1605">
                  <w:rPr>
                    <w:sz w:val="20"/>
                    <w:szCs w:val="20"/>
                  </w:rPr>
                  <w:fldChar w:fldCharType="end"/>
                </w:r>
              </w:p>
              <w:p w:rsidR="001213BF" w:rsidRPr="00833515" w:rsidRDefault="001213BF">
                <w:pPr>
                  <w:rPr>
                    <w:szCs w:val="20"/>
                  </w:rPr>
                </w:pPr>
              </w:p>
            </w:tc>
          </w:tr>
          <w:tr w:rsidR="001213BF">
            <w:trPr>
              <w:cantSplit/>
              <w:trHeight w:val="273"/>
            </w:trPr>
            <w:tc>
              <w:tcPr>
                <w:tcW w:w="2601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1213BF" w:rsidRDefault="001213BF">
                <w:pPr>
                  <w:pStyle w:val="Cabealho"/>
                  <w:spacing w:line="276" w:lineRule="auto"/>
                  <w:ind w:righ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Rubrica: _____________</w:t>
                </w:r>
              </w:p>
              <w:p w:rsidR="001213BF" w:rsidRDefault="001213BF" w:rsidP="00CF2E59">
                <w:pPr>
                  <w:pStyle w:val="Cabealho"/>
                  <w:spacing w:line="276" w:lineRule="auto"/>
                  <w:ind w:righ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</w:t>
                </w:r>
                <w:bookmarkStart w:id="7" w:name="_GoBack"/>
                <w:bookmarkEnd w:id="7"/>
              </w:p>
            </w:tc>
          </w:tr>
        </w:tbl>
        <w:p w:rsidR="001213BF" w:rsidRDefault="001213BF">
          <w:pPr>
            <w:pStyle w:val="Cabealho"/>
            <w:spacing w:line="276" w:lineRule="auto"/>
            <w:ind w:right="-7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213BF" w:rsidRDefault="001213BF" w:rsidP="001B1CDD">
    <w:pPr>
      <w:ind w:left="-709"/>
      <w:jc w:val="center"/>
      <w:rPr>
        <w:sz w:val="18"/>
        <w:szCs w:val="18"/>
      </w:rPr>
    </w:pPr>
  </w:p>
  <w:p w:rsidR="001213BF" w:rsidRDefault="001213B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59" w:rsidRDefault="00CF2E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A6C"/>
    <w:multiLevelType w:val="hybridMultilevel"/>
    <w:tmpl w:val="3E64E88E"/>
    <w:lvl w:ilvl="0" w:tplc="04160013">
      <w:start w:val="1"/>
      <w:numFmt w:val="upperRoman"/>
      <w:lvlText w:val="%1."/>
      <w:lvlJc w:val="right"/>
      <w:pPr>
        <w:ind w:left="7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61067F4"/>
    <w:multiLevelType w:val="hybridMultilevel"/>
    <w:tmpl w:val="DEB086DE"/>
    <w:lvl w:ilvl="0" w:tplc="9502EA02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4" w:hanging="360"/>
      </w:pPr>
    </w:lvl>
    <w:lvl w:ilvl="2" w:tplc="0416001B" w:tentative="1">
      <w:start w:val="1"/>
      <w:numFmt w:val="lowerRoman"/>
      <w:lvlText w:val="%3."/>
      <w:lvlJc w:val="right"/>
      <w:pPr>
        <w:ind w:left="2664" w:hanging="180"/>
      </w:pPr>
    </w:lvl>
    <w:lvl w:ilvl="3" w:tplc="0416000F" w:tentative="1">
      <w:start w:val="1"/>
      <w:numFmt w:val="decimal"/>
      <w:lvlText w:val="%4."/>
      <w:lvlJc w:val="left"/>
      <w:pPr>
        <w:ind w:left="3384" w:hanging="360"/>
      </w:pPr>
    </w:lvl>
    <w:lvl w:ilvl="4" w:tplc="04160019" w:tentative="1">
      <w:start w:val="1"/>
      <w:numFmt w:val="lowerLetter"/>
      <w:lvlText w:val="%5."/>
      <w:lvlJc w:val="left"/>
      <w:pPr>
        <w:ind w:left="4104" w:hanging="360"/>
      </w:pPr>
    </w:lvl>
    <w:lvl w:ilvl="5" w:tplc="0416001B" w:tentative="1">
      <w:start w:val="1"/>
      <w:numFmt w:val="lowerRoman"/>
      <w:lvlText w:val="%6."/>
      <w:lvlJc w:val="right"/>
      <w:pPr>
        <w:ind w:left="4824" w:hanging="180"/>
      </w:pPr>
    </w:lvl>
    <w:lvl w:ilvl="6" w:tplc="0416000F" w:tentative="1">
      <w:start w:val="1"/>
      <w:numFmt w:val="decimal"/>
      <w:lvlText w:val="%7."/>
      <w:lvlJc w:val="left"/>
      <w:pPr>
        <w:ind w:left="5544" w:hanging="360"/>
      </w:pPr>
    </w:lvl>
    <w:lvl w:ilvl="7" w:tplc="04160019" w:tentative="1">
      <w:start w:val="1"/>
      <w:numFmt w:val="lowerLetter"/>
      <w:lvlText w:val="%8."/>
      <w:lvlJc w:val="left"/>
      <w:pPr>
        <w:ind w:left="6264" w:hanging="360"/>
      </w:pPr>
    </w:lvl>
    <w:lvl w:ilvl="8" w:tplc="0416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40677EB3"/>
    <w:multiLevelType w:val="hybridMultilevel"/>
    <w:tmpl w:val="F35EEF22"/>
    <w:lvl w:ilvl="0" w:tplc="0416000F">
      <w:start w:val="1"/>
      <w:numFmt w:val="decimal"/>
      <w:lvlText w:val="%1."/>
      <w:lvlJc w:val="left"/>
      <w:pPr>
        <w:ind w:left="1152" w:hanging="360"/>
      </w:p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5D815A9E"/>
    <w:multiLevelType w:val="hybridMultilevel"/>
    <w:tmpl w:val="65EA3FAC"/>
    <w:lvl w:ilvl="0" w:tplc="04160017">
      <w:start w:val="1"/>
      <w:numFmt w:val="lowerLetter"/>
      <w:lvlText w:val="%1)"/>
      <w:lvlJc w:val="left"/>
      <w:pPr>
        <w:ind w:left="1924" w:hanging="360"/>
      </w:pPr>
    </w:lvl>
    <w:lvl w:ilvl="1" w:tplc="04160019" w:tentative="1">
      <w:start w:val="1"/>
      <w:numFmt w:val="lowerLetter"/>
      <w:lvlText w:val="%2."/>
      <w:lvlJc w:val="left"/>
      <w:pPr>
        <w:ind w:left="2644" w:hanging="360"/>
      </w:pPr>
    </w:lvl>
    <w:lvl w:ilvl="2" w:tplc="0416001B" w:tentative="1">
      <w:start w:val="1"/>
      <w:numFmt w:val="lowerRoman"/>
      <w:lvlText w:val="%3."/>
      <w:lvlJc w:val="right"/>
      <w:pPr>
        <w:ind w:left="3364" w:hanging="180"/>
      </w:pPr>
    </w:lvl>
    <w:lvl w:ilvl="3" w:tplc="0416000F" w:tentative="1">
      <w:start w:val="1"/>
      <w:numFmt w:val="decimal"/>
      <w:lvlText w:val="%4."/>
      <w:lvlJc w:val="left"/>
      <w:pPr>
        <w:ind w:left="4084" w:hanging="360"/>
      </w:pPr>
    </w:lvl>
    <w:lvl w:ilvl="4" w:tplc="04160019" w:tentative="1">
      <w:start w:val="1"/>
      <w:numFmt w:val="lowerLetter"/>
      <w:lvlText w:val="%5."/>
      <w:lvlJc w:val="left"/>
      <w:pPr>
        <w:ind w:left="4804" w:hanging="360"/>
      </w:pPr>
    </w:lvl>
    <w:lvl w:ilvl="5" w:tplc="0416001B" w:tentative="1">
      <w:start w:val="1"/>
      <w:numFmt w:val="lowerRoman"/>
      <w:lvlText w:val="%6."/>
      <w:lvlJc w:val="right"/>
      <w:pPr>
        <w:ind w:left="5524" w:hanging="180"/>
      </w:pPr>
    </w:lvl>
    <w:lvl w:ilvl="6" w:tplc="0416000F" w:tentative="1">
      <w:start w:val="1"/>
      <w:numFmt w:val="decimal"/>
      <w:lvlText w:val="%7."/>
      <w:lvlJc w:val="left"/>
      <w:pPr>
        <w:ind w:left="6244" w:hanging="360"/>
      </w:pPr>
    </w:lvl>
    <w:lvl w:ilvl="7" w:tplc="04160019" w:tentative="1">
      <w:start w:val="1"/>
      <w:numFmt w:val="lowerLetter"/>
      <w:lvlText w:val="%8."/>
      <w:lvlJc w:val="left"/>
      <w:pPr>
        <w:ind w:left="6964" w:hanging="360"/>
      </w:pPr>
    </w:lvl>
    <w:lvl w:ilvl="8" w:tplc="0416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4">
    <w:nsid w:val="65F77D02"/>
    <w:multiLevelType w:val="hybridMultilevel"/>
    <w:tmpl w:val="3544F6EC"/>
    <w:lvl w:ilvl="0" w:tplc="9502EA0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D"/>
    <w:rsid w:val="000052D8"/>
    <w:rsid w:val="00006857"/>
    <w:rsid w:val="00030CD7"/>
    <w:rsid w:val="00044FFB"/>
    <w:rsid w:val="00061528"/>
    <w:rsid w:val="00076A4B"/>
    <w:rsid w:val="00090857"/>
    <w:rsid w:val="000A3C76"/>
    <w:rsid w:val="000B403C"/>
    <w:rsid w:val="000C03A8"/>
    <w:rsid w:val="000C5004"/>
    <w:rsid w:val="000D4AA6"/>
    <w:rsid w:val="00116AEF"/>
    <w:rsid w:val="001213BF"/>
    <w:rsid w:val="001755A3"/>
    <w:rsid w:val="00180EB9"/>
    <w:rsid w:val="00190677"/>
    <w:rsid w:val="00191809"/>
    <w:rsid w:val="001A399E"/>
    <w:rsid w:val="001A3B0B"/>
    <w:rsid w:val="001A6838"/>
    <w:rsid w:val="001B1CDD"/>
    <w:rsid w:val="001E774C"/>
    <w:rsid w:val="00291E07"/>
    <w:rsid w:val="003119BF"/>
    <w:rsid w:val="00312711"/>
    <w:rsid w:val="00321F39"/>
    <w:rsid w:val="00351DDC"/>
    <w:rsid w:val="00356EB3"/>
    <w:rsid w:val="003B3A58"/>
    <w:rsid w:val="003B6B0E"/>
    <w:rsid w:val="00410B67"/>
    <w:rsid w:val="00411551"/>
    <w:rsid w:val="00413D33"/>
    <w:rsid w:val="00426FA1"/>
    <w:rsid w:val="00466D70"/>
    <w:rsid w:val="00491053"/>
    <w:rsid w:val="004A2AD0"/>
    <w:rsid w:val="004C2764"/>
    <w:rsid w:val="004E6CBD"/>
    <w:rsid w:val="005365A9"/>
    <w:rsid w:val="00550BD3"/>
    <w:rsid w:val="005A0E3E"/>
    <w:rsid w:val="005B6DB0"/>
    <w:rsid w:val="005C5DCC"/>
    <w:rsid w:val="005E2F63"/>
    <w:rsid w:val="005F5E11"/>
    <w:rsid w:val="005F734C"/>
    <w:rsid w:val="0061692E"/>
    <w:rsid w:val="006537DE"/>
    <w:rsid w:val="00674602"/>
    <w:rsid w:val="006A6A08"/>
    <w:rsid w:val="006F303D"/>
    <w:rsid w:val="00722E3C"/>
    <w:rsid w:val="00725F82"/>
    <w:rsid w:val="00731350"/>
    <w:rsid w:val="00757519"/>
    <w:rsid w:val="007A349A"/>
    <w:rsid w:val="007B3A31"/>
    <w:rsid w:val="007B707A"/>
    <w:rsid w:val="007E7CAD"/>
    <w:rsid w:val="007F1F0F"/>
    <w:rsid w:val="00801419"/>
    <w:rsid w:val="00833515"/>
    <w:rsid w:val="0086529E"/>
    <w:rsid w:val="0087192B"/>
    <w:rsid w:val="00873E96"/>
    <w:rsid w:val="008767F5"/>
    <w:rsid w:val="00892D4B"/>
    <w:rsid w:val="008D0BF4"/>
    <w:rsid w:val="009602C6"/>
    <w:rsid w:val="0096629E"/>
    <w:rsid w:val="00996FD7"/>
    <w:rsid w:val="009A4B6E"/>
    <w:rsid w:val="009B4A9B"/>
    <w:rsid w:val="009C0AC8"/>
    <w:rsid w:val="009C1605"/>
    <w:rsid w:val="00A419D4"/>
    <w:rsid w:val="00A73D5D"/>
    <w:rsid w:val="00AA585C"/>
    <w:rsid w:val="00AC4906"/>
    <w:rsid w:val="00AE19F7"/>
    <w:rsid w:val="00AE7885"/>
    <w:rsid w:val="00B122DF"/>
    <w:rsid w:val="00B331CD"/>
    <w:rsid w:val="00B62C31"/>
    <w:rsid w:val="00B660D3"/>
    <w:rsid w:val="00B81CFC"/>
    <w:rsid w:val="00BA3057"/>
    <w:rsid w:val="00BF0493"/>
    <w:rsid w:val="00C041CF"/>
    <w:rsid w:val="00C15E55"/>
    <w:rsid w:val="00C7520D"/>
    <w:rsid w:val="00C871FB"/>
    <w:rsid w:val="00C96F29"/>
    <w:rsid w:val="00CA2810"/>
    <w:rsid w:val="00CF2E59"/>
    <w:rsid w:val="00D42BE6"/>
    <w:rsid w:val="00D51B42"/>
    <w:rsid w:val="00D53D82"/>
    <w:rsid w:val="00D6017F"/>
    <w:rsid w:val="00D7403F"/>
    <w:rsid w:val="00D844E6"/>
    <w:rsid w:val="00D972CA"/>
    <w:rsid w:val="00DC12AA"/>
    <w:rsid w:val="00E04CF8"/>
    <w:rsid w:val="00E26878"/>
    <w:rsid w:val="00E36BD8"/>
    <w:rsid w:val="00E516C0"/>
    <w:rsid w:val="00E63077"/>
    <w:rsid w:val="00E907B5"/>
    <w:rsid w:val="00EB7872"/>
    <w:rsid w:val="00EC6042"/>
    <w:rsid w:val="00EC62A8"/>
    <w:rsid w:val="00ED4760"/>
    <w:rsid w:val="00ED5FA5"/>
    <w:rsid w:val="00EF3393"/>
    <w:rsid w:val="00F34041"/>
    <w:rsid w:val="00F611F8"/>
    <w:rsid w:val="00FC3075"/>
    <w:rsid w:val="00FE36B9"/>
    <w:rsid w:val="00FE4910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33515"/>
    <w:pPr>
      <w:keepNext/>
      <w:keepLines/>
      <w:widowControl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5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1053"/>
    <w:pPr>
      <w:widowControl/>
      <w:autoSpaceDE/>
      <w:autoSpaceDN/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51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33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1053"/>
    <w:rPr>
      <w:rFonts w:asciiTheme="majorHAnsi" w:eastAsiaTheme="majorEastAsia" w:hAnsiTheme="majorHAnsi" w:cstheme="majorBidi"/>
      <w:lang w:eastAsia="pt-BR"/>
    </w:rPr>
  </w:style>
  <w:style w:type="paragraph" w:styleId="PargrafodaLista">
    <w:name w:val="List Paragraph"/>
    <w:basedOn w:val="Normal"/>
    <w:uiPriority w:val="34"/>
    <w:qFormat/>
    <w:rsid w:val="008719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20D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remissao">
    <w:name w:val="legislacao_remissao"/>
    <w:basedOn w:val="Normal"/>
    <w:rsid w:val="00C7520D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8000"/>
      <w:sz w:val="17"/>
      <w:szCs w:val="17"/>
      <w:lang w:eastAsia="pt-BR"/>
    </w:rPr>
  </w:style>
  <w:style w:type="character" w:styleId="nfase">
    <w:name w:val="Emphasis"/>
    <w:basedOn w:val="Fontepargpadro"/>
    <w:uiPriority w:val="20"/>
    <w:qFormat/>
    <w:rsid w:val="00C7520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50BD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692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692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692E"/>
    <w:rPr>
      <w:vertAlign w:val="superscript"/>
    </w:rPr>
  </w:style>
  <w:style w:type="paragraph" w:customStyle="1" w:styleId="Default">
    <w:name w:val="Default"/>
    <w:rsid w:val="006537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833515"/>
    <w:pPr>
      <w:keepNext/>
      <w:keepLines/>
      <w:widowControl/>
      <w:autoSpaceDE/>
      <w:autoSpaceDN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9"/>
    <w:qFormat/>
    <w:rsid w:val="001B1CDD"/>
    <w:pPr>
      <w:keepLines/>
      <w:jc w:val="left"/>
      <w:outlineLvl w:val="1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5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1053"/>
    <w:pPr>
      <w:widowControl/>
      <w:autoSpaceDE/>
      <w:autoSpaceDN/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iPriority w:val="99"/>
    <w:semiHidden/>
    <w:unhideWhenUsed/>
    <w:rsid w:val="001B1CDD"/>
    <w:pPr>
      <w:widowControl/>
      <w:autoSpaceDE/>
      <w:autoSpaceDN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CD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51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33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1053"/>
    <w:rPr>
      <w:rFonts w:asciiTheme="majorHAnsi" w:eastAsiaTheme="majorEastAsia" w:hAnsiTheme="majorHAnsi" w:cstheme="majorBidi"/>
      <w:lang w:eastAsia="pt-BR"/>
    </w:rPr>
  </w:style>
  <w:style w:type="paragraph" w:styleId="PargrafodaLista">
    <w:name w:val="List Paragraph"/>
    <w:basedOn w:val="Normal"/>
    <w:uiPriority w:val="34"/>
    <w:qFormat/>
    <w:rsid w:val="008719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20D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remissao">
    <w:name w:val="legislacao_remissao"/>
    <w:basedOn w:val="Normal"/>
    <w:rsid w:val="00C7520D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color w:val="008000"/>
      <w:sz w:val="17"/>
      <w:szCs w:val="17"/>
      <w:lang w:eastAsia="pt-BR"/>
    </w:rPr>
  </w:style>
  <w:style w:type="character" w:styleId="nfase">
    <w:name w:val="Emphasis"/>
    <w:basedOn w:val="Fontepargpadro"/>
    <w:uiPriority w:val="20"/>
    <w:qFormat/>
    <w:rsid w:val="00C7520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50BD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692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692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692E"/>
    <w:rPr>
      <w:vertAlign w:val="superscript"/>
    </w:rPr>
  </w:style>
  <w:style w:type="paragraph" w:customStyle="1" w:styleId="Default">
    <w:name w:val="Default"/>
    <w:rsid w:val="006537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92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1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0867">
                                              <w:marLeft w:val="0"/>
                                              <w:marRight w:val="0"/>
                                              <w:marTop w:val="3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us.com.br/tudo/process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80A9-D130-4906-BDA8-13A04486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1972</Words>
  <Characters>10653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THEMA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</dc:creator>
  <cp:lastModifiedBy>Thereza Marina Cunha M. Cunha</cp:lastModifiedBy>
  <cp:revision>3</cp:revision>
  <cp:lastPrinted>2019-03-20T19:08:00Z</cp:lastPrinted>
  <dcterms:created xsi:type="dcterms:W3CDTF">2019-04-04T21:33:00Z</dcterms:created>
  <dcterms:modified xsi:type="dcterms:W3CDTF">2019-04-04T21:33:00Z</dcterms:modified>
</cp:coreProperties>
</file>