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79"/>
        <w:gridCol w:w="7245"/>
      </w:tblGrid>
      <w:tr w:rsidR="005D4761" w:rsidRPr="00B92E2E" w:rsidTr="004D13F4">
        <w:trPr>
          <w:trHeight w:val="432"/>
        </w:trPr>
        <w:tc>
          <w:tcPr>
            <w:tcW w:w="1599" w:type="dxa"/>
            <w:hideMark/>
          </w:tcPr>
          <w:p w:rsidR="005D4761" w:rsidRPr="00B92E2E" w:rsidRDefault="005D4761" w:rsidP="00E35594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48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B92E2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Assunto:</w:t>
            </w:r>
          </w:p>
        </w:tc>
        <w:tc>
          <w:tcPr>
            <w:tcW w:w="279" w:type="dxa"/>
            <w:hideMark/>
          </w:tcPr>
          <w:p w:rsidR="005D4761" w:rsidRPr="00B92E2E" w:rsidRDefault="00C46441" w:rsidP="00D77F22">
            <w:pPr>
              <w:widowControl w:val="0"/>
              <w:autoSpaceDE w:val="0"/>
              <w:snapToGri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B92E2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245" w:type="dxa"/>
          </w:tcPr>
          <w:p w:rsidR="002F1F02" w:rsidRPr="00B92E2E" w:rsidRDefault="00880620" w:rsidP="00E35594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2" w:right="-1" w:hanging="2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fecp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; lei complementar n.º 183/2018</w:t>
            </w:r>
          </w:p>
        </w:tc>
      </w:tr>
    </w:tbl>
    <w:p w:rsidR="00281E92" w:rsidRDefault="00C43103" w:rsidP="00D77F22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72061"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0861E3" w:rsidRDefault="000861E3" w:rsidP="00D77F22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consulta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nº 016/2019</w:t>
      </w:r>
    </w:p>
    <w:p w:rsidR="00DA73F0" w:rsidRPr="00B92E2E" w:rsidRDefault="00C43103" w:rsidP="00D77F22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r w:rsidR="00BD284F"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B62E26" w:rsidRPr="00B92E2E" w:rsidRDefault="00B62E26" w:rsidP="004D13F4">
      <w:pPr>
        <w:spacing w:line="360" w:lineRule="auto"/>
        <w:ind w:left="4956" w:right="-1" w:hanging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E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– RELATÓRIO</w:t>
      </w:r>
    </w:p>
    <w:p w:rsidR="00211049" w:rsidRPr="00B92E2E" w:rsidRDefault="00211049" w:rsidP="00D77F22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69BD" w:rsidRDefault="00B04B1B" w:rsidP="00281E92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>A consulente, sediada no município d</w:t>
      </w:r>
      <w:r w:rsidR="009B2A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Rio de Janeiro, </w:t>
      </w:r>
      <w:r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vem solicitar esclarecimentos desta Superintendência acerca </w:t>
      </w:r>
      <w:r w:rsidR="00DD4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 incidência do FECP </w:t>
      </w:r>
      <w:r w:rsidR="00857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 operações com </w:t>
      </w:r>
      <w:r w:rsidR="00DD4584">
        <w:rPr>
          <w:rFonts w:ascii="Times New Roman" w:eastAsia="Times New Roman" w:hAnsi="Times New Roman" w:cs="Times New Roman"/>
          <w:sz w:val="24"/>
          <w:szCs w:val="24"/>
          <w:lang w:eastAsia="ar-SA"/>
        </w:rPr>
        <w:t>energia elétrica, em face da publicação da Lei Complementar n.º 183/2018.</w:t>
      </w:r>
    </w:p>
    <w:p w:rsidR="009B2A7F" w:rsidRDefault="009B2A7F" w:rsidP="00281E92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7C3A" w:rsidRDefault="00B04B1B" w:rsidP="00281E92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processo encontra-se instruído com cópias reprográficas que comprovam a habilitação do signatário da inicial para peticionar em nome da empresa (fls. </w:t>
      </w:r>
      <w:r w:rsidR="00D456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07 a </w:t>
      </w:r>
      <w:proofErr w:type="gramStart"/>
      <w:r w:rsidR="00D4562C">
        <w:rPr>
          <w:rFonts w:ascii="Times New Roman" w:eastAsia="Times New Roman" w:hAnsi="Times New Roman" w:cs="Times New Roman"/>
          <w:sz w:val="24"/>
          <w:szCs w:val="24"/>
          <w:lang w:eastAsia="ar-SA"/>
        </w:rPr>
        <w:t>10v</w:t>
      </w:r>
      <w:proofErr w:type="gramEnd"/>
      <w:r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Constam, às fls. </w:t>
      </w:r>
      <w:r w:rsidR="00A6751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C3F17">
        <w:rPr>
          <w:rFonts w:ascii="Times New Roman" w:eastAsia="Times New Roman" w:hAnsi="Times New Roman" w:cs="Times New Roman"/>
          <w:sz w:val="24"/>
          <w:szCs w:val="24"/>
          <w:lang w:eastAsia="ar-SA"/>
        </w:rPr>
        <w:t>9 a 21</w:t>
      </w:r>
      <w:r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>, cópias de documentos que comprovam o pagamento da TSE - Taxa de Serviços Estaduais. O processo foi formalizado n</w:t>
      </w:r>
      <w:r w:rsidR="00FD2056"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C3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DAC/SUFIS</w:t>
      </w:r>
      <w:r w:rsidR="00187C3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C3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remetido à AFE 03 – Energia Elétrica e Telecomunicações, de jurisdição da consulente,</w:t>
      </w:r>
      <w:r w:rsidR="00187C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20F8"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que informou, às fls. </w:t>
      </w:r>
      <w:r w:rsidR="004C3F1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C34617"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420F8"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187C3A">
        <w:rPr>
          <w:rFonts w:ascii="Times New Roman" w:eastAsia="Times New Roman" w:hAnsi="Times New Roman" w:cs="Times New Roman"/>
          <w:sz w:val="24"/>
          <w:szCs w:val="24"/>
          <w:lang w:eastAsia="ar-SA"/>
        </w:rPr>
        <w:t>ine</w:t>
      </w:r>
      <w:r w:rsidR="00F420F8"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xistência de </w:t>
      </w:r>
      <w:r w:rsidR="00187C3A">
        <w:rPr>
          <w:rFonts w:ascii="Times New Roman" w:eastAsia="Times New Roman" w:hAnsi="Times New Roman" w:cs="Times New Roman"/>
          <w:sz w:val="24"/>
          <w:szCs w:val="24"/>
          <w:lang w:eastAsia="ar-SA"/>
        </w:rPr>
        <w:t>ações fiscais em andamento rel</w:t>
      </w:r>
      <w:r w:rsidR="004C3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acionados ao objeto da consulta. </w:t>
      </w:r>
      <w:r w:rsidR="00A83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Não informou quanto </w:t>
      </w:r>
      <w:proofErr w:type="gramStart"/>
      <w:r w:rsidR="00A833B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="00A83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existência ou não de autos de infração relacionados ao assunto.</w:t>
      </w:r>
    </w:p>
    <w:p w:rsidR="00187C3A" w:rsidRDefault="00187C3A" w:rsidP="00281E92">
      <w:pPr>
        <w:widowControl w:val="0"/>
        <w:autoSpaceDE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7C3A" w:rsidRDefault="00E304B0" w:rsidP="00281E92">
      <w:pPr>
        <w:widowControl w:val="0"/>
        <w:autoSpaceDE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empresa inicia</w:t>
      </w:r>
      <w:r w:rsidR="00DD4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sua argumentação afirmando que a Lei Complementar n.º 183/2018, assim como a Lei n.º 7.508/2016, não considerou o adicional de mais </w:t>
      </w:r>
      <w:proofErr w:type="gramStart"/>
      <w:r w:rsidR="00DD458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="00DD4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(dois) pontos percentuais para os serviços previstos na alínea “c” do inciso VI do </w:t>
      </w:r>
      <w:r w:rsidR="00E25575">
        <w:rPr>
          <w:rFonts w:ascii="Times New Roman" w:eastAsia="Times New Roman" w:hAnsi="Times New Roman" w:cs="Times New Roman"/>
          <w:sz w:val="24"/>
          <w:szCs w:val="24"/>
          <w:lang w:eastAsia="ar-SA"/>
        </w:rPr>
        <w:t>artigo 14 da Lei n.º 2.657/1996, mas apenas para aqueles previstos na alínea “b” do mesmo dispositivo.</w:t>
      </w:r>
      <w:r w:rsidR="00857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Prossegue, mencionando que anteriormente apresentou consulta tributária através do administrativo E-04/079/1507/2017 (cuja resposta tomou o número de 070/2017) cópia anexada pela consulente às fls. 22 a 26</w:t>
      </w:r>
      <w:r w:rsidR="00F163C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57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para interpretação das alterações promovidas pela Lei n.º 7.508/2016. Especificamente, se o adicional suplementar do FECP se aplic</w:t>
      </w:r>
      <w:r w:rsidR="00F163CB">
        <w:rPr>
          <w:rFonts w:ascii="Times New Roman" w:eastAsia="Times New Roman" w:hAnsi="Times New Roman" w:cs="Times New Roman"/>
          <w:sz w:val="24"/>
          <w:szCs w:val="24"/>
          <w:lang w:eastAsia="ar-SA"/>
        </w:rPr>
        <w:t>aria ou não ao serviço previsto na alínea “c” do inciso VI do artigo 14 da Lei n.º 2.657/1996.  Afirma também, que à época, houve uma regulamentação posterior, através da Lei n.º 7.787/2017, que teria sanado o problema.</w:t>
      </w:r>
    </w:p>
    <w:p w:rsidR="00A833BB" w:rsidRDefault="00A833BB" w:rsidP="00281E92">
      <w:pPr>
        <w:widowControl w:val="0"/>
        <w:autoSpaceDE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04B0" w:rsidRDefault="00E304B0" w:rsidP="00281E92">
      <w:pPr>
        <w:widowControl w:val="0"/>
        <w:autoSpaceDE w:val="0"/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>Isto posto</w:t>
      </w:r>
      <w:proofErr w:type="gramEnd"/>
      <w:r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>, consulta, às fls.</w:t>
      </w:r>
      <w:r w:rsidR="00A52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05 e 06</w:t>
      </w:r>
      <w:r w:rsidRPr="00B92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2E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(sic):</w:t>
      </w:r>
    </w:p>
    <w:p w:rsidR="00857821" w:rsidRDefault="00857821" w:rsidP="00281E92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28D" w:rsidRPr="001C7C63" w:rsidRDefault="00A5228D" w:rsidP="00281E92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C7C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“Diante da exposição dos fatos e constatações que ensejaram interpretações diversas sobre a legislação tributária do ERJ, requer a Consulente seja esclarecido se com a publicação da LC nº 183/2018 e, considerando a Resposta à Consulta objeto do processo nº. </w:t>
      </w:r>
      <w:r w:rsidR="001C7C63" w:rsidRPr="001C7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E-04/079/1507/2017 (doc. </w:t>
      </w:r>
      <w:r w:rsidR="001C7C6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1C7C63" w:rsidRPr="001C7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nexa), </w:t>
      </w:r>
      <w:r w:rsidR="001C7C63" w:rsidRPr="001C7C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a prorrogação, até 31/12/2019, do adicional de mais </w:t>
      </w:r>
      <w:proofErr w:type="gramStart"/>
      <w:r w:rsidR="001C7C63" w:rsidRPr="001C7C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</w:t>
      </w:r>
      <w:proofErr w:type="gramEnd"/>
      <w:r w:rsidR="001C7C63" w:rsidRPr="001C7C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pontos percentuais para os serviços previstos na alínea “b” inciso VI, do artigo 14 da Lei nº 2.657/96, e extensiva a alínea “c” do inciso VI do artigo 14 da Lei nº 2.657/96, totalizando 32% a alíquota de ICMS em operações com energia elétrica quando acima de 450 quilowatts/hora mensais.</w:t>
      </w:r>
      <w:r w:rsidR="001C7C63" w:rsidRPr="001C7C63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E304B0" w:rsidRDefault="00E304B0" w:rsidP="00281E92">
      <w:pPr>
        <w:widowControl w:val="0"/>
        <w:autoSpaceDE w:val="0"/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C3191" w:rsidRDefault="004C3191" w:rsidP="00281E92">
      <w:pPr>
        <w:widowControl w:val="0"/>
        <w:autoSpaceDE w:val="0"/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81E92" w:rsidRDefault="00281E92" w:rsidP="00281E92">
      <w:pPr>
        <w:widowControl w:val="0"/>
        <w:autoSpaceDE w:val="0"/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304B0" w:rsidRDefault="00E304B0" w:rsidP="00281E92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E2E">
        <w:rPr>
          <w:rFonts w:ascii="Times New Roman" w:hAnsi="Times New Roman" w:cs="Times New Roman"/>
          <w:b/>
          <w:sz w:val="24"/>
          <w:szCs w:val="24"/>
        </w:rPr>
        <w:t>II – ANÁLISE e FUNDAMENTAÇÃO</w:t>
      </w:r>
    </w:p>
    <w:p w:rsidR="00F163CB" w:rsidRDefault="00F163CB" w:rsidP="00281E92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92" w:rsidRDefault="00281E92" w:rsidP="00281E92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DBB" w:rsidRDefault="00F163CB" w:rsidP="00281E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3CB">
        <w:rPr>
          <w:rFonts w:ascii="Times New Roman" w:hAnsi="Times New Roman" w:cs="Times New Roman"/>
          <w:sz w:val="24"/>
          <w:szCs w:val="24"/>
        </w:rPr>
        <w:t>Procedem os</w:t>
      </w:r>
      <w:proofErr w:type="gramEnd"/>
      <w:r w:rsidRPr="00F163CB">
        <w:rPr>
          <w:rFonts w:ascii="Times New Roman" w:hAnsi="Times New Roman" w:cs="Times New Roman"/>
          <w:sz w:val="24"/>
          <w:szCs w:val="24"/>
        </w:rPr>
        <w:t xml:space="preserve"> argumentos da consulente, e</w:t>
      </w:r>
      <w:r w:rsidR="006D6DBB">
        <w:rPr>
          <w:rFonts w:ascii="Times New Roman" w:hAnsi="Times New Roman" w:cs="Times New Roman"/>
          <w:sz w:val="24"/>
          <w:szCs w:val="24"/>
        </w:rPr>
        <w:t>,</w:t>
      </w:r>
      <w:r w:rsidRPr="00F163CB">
        <w:rPr>
          <w:rFonts w:ascii="Times New Roman" w:hAnsi="Times New Roman" w:cs="Times New Roman"/>
          <w:sz w:val="24"/>
          <w:szCs w:val="24"/>
        </w:rPr>
        <w:t xml:space="preserve"> de fato, a legislação omitiu novamente o serviço previsto na alínea “c” do inciso VI do artigo 14 da Lei n.º 2.657/1996. Logicamente, não faz sentido o aumento suplementar do FECP para o fornecimento entre 300 e 450 quilowatts/hora mensais, previsto na alínea “b”, e o fornecimento acima de 450 quilowatts/hora mensais </w:t>
      </w:r>
      <w:r>
        <w:rPr>
          <w:rFonts w:ascii="Times New Roman" w:hAnsi="Times New Roman" w:cs="Times New Roman"/>
          <w:sz w:val="24"/>
          <w:szCs w:val="24"/>
        </w:rPr>
        <w:t xml:space="preserve">não ter o correspondente aumento, </w:t>
      </w:r>
      <w:r w:rsidRPr="00F163CB">
        <w:rPr>
          <w:rFonts w:ascii="Times New Roman" w:hAnsi="Times New Roman" w:cs="Times New Roman"/>
          <w:sz w:val="24"/>
          <w:szCs w:val="24"/>
        </w:rPr>
        <w:t>fica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F163CB">
        <w:rPr>
          <w:rFonts w:ascii="Times New Roman" w:hAnsi="Times New Roman" w:cs="Times New Roman"/>
          <w:sz w:val="24"/>
          <w:szCs w:val="24"/>
        </w:rPr>
        <w:t xml:space="preserve"> com uma alíquota inferior, considerando que o FECP é um adicional à alíquota de ICMS.</w:t>
      </w:r>
      <w:r w:rsidR="0053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6C" w:rsidRDefault="0081796C" w:rsidP="00281E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DBB" w:rsidRDefault="006D6DBB" w:rsidP="00281E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86">
        <w:rPr>
          <w:rFonts w:ascii="Times New Roman" w:hAnsi="Times New Roman" w:cs="Times New Roman"/>
          <w:sz w:val="24"/>
          <w:szCs w:val="24"/>
        </w:rPr>
        <w:t xml:space="preserve">A Lei Complementar n.º 183/2018, apenas prorrogou, para 31/12/2019, os prazos consignados no artigo 6º da Lei n.º 151/2013 (referente ao caput do artigo 1º da Lei 4056/2002) e no inciso II do artigo 2º da Lei n.º 4.056/2002.  O </w:t>
      </w:r>
      <w:r w:rsidR="00A11DE7" w:rsidRPr="008C4486">
        <w:rPr>
          <w:rFonts w:ascii="Times New Roman" w:hAnsi="Times New Roman" w:cs="Times New Roman"/>
          <w:sz w:val="24"/>
          <w:szCs w:val="24"/>
        </w:rPr>
        <w:t>Inciso II do artigo 2º da Lei n.</w:t>
      </w:r>
      <w:r w:rsidRPr="008C4486">
        <w:rPr>
          <w:rFonts w:ascii="Times New Roman" w:hAnsi="Times New Roman" w:cs="Times New Roman"/>
          <w:sz w:val="24"/>
          <w:szCs w:val="24"/>
        </w:rPr>
        <w:t>º</w:t>
      </w:r>
      <w:r w:rsidR="00A11DE7" w:rsidRPr="008C4486">
        <w:rPr>
          <w:rFonts w:ascii="Times New Roman" w:hAnsi="Times New Roman" w:cs="Times New Roman"/>
          <w:sz w:val="24"/>
          <w:szCs w:val="24"/>
        </w:rPr>
        <w:t xml:space="preserve"> 4.056/2002</w:t>
      </w:r>
      <w:r w:rsidRPr="008C4486">
        <w:rPr>
          <w:rFonts w:ascii="Times New Roman" w:hAnsi="Times New Roman" w:cs="Times New Roman"/>
          <w:sz w:val="24"/>
          <w:szCs w:val="24"/>
        </w:rPr>
        <w:t xml:space="preserve"> cita expressamente apenas a alínea “b” do inciso VI do artigo 14 da Lei n.º 2.657/1996.</w:t>
      </w:r>
    </w:p>
    <w:p w:rsidR="006D6DBB" w:rsidRDefault="006D6DBB" w:rsidP="00281E92">
      <w:pPr>
        <w:widowControl w:val="0"/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993" w:rsidRDefault="00530993" w:rsidP="00281E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Entretanto, analisando os fatos e eventos em ordem cronológica, a publicação da Lei Complementar n.º 183/18, se deu em momento posterior ao desmembramento da antiga alínea “b” do inciso VI do artigo 14 da Lei n.º 2.657/1996, nas atuais alíneas “b” e “c”, </w:t>
      </w:r>
      <w:r w:rsidRPr="008C4486">
        <w:rPr>
          <w:rFonts w:ascii="Times New Roman" w:hAnsi="Times New Roman" w:cs="Times New Roman"/>
          <w:sz w:val="24"/>
          <w:szCs w:val="24"/>
        </w:rPr>
        <w:t>promovido pela Lei n.º 7</w:t>
      </w:r>
      <w:r w:rsidR="006D6DBB" w:rsidRPr="008C4486">
        <w:rPr>
          <w:rFonts w:ascii="Times New Roman" w:hAnsi="Times New Roman" w:cs="Times New Roman"/>
          <w:sz w:val="24"/>
          <w:szCs w:val="24"/>
        </w:rPr>
        <w:t>.</w:t>
      </w:r>
      <w:r w:rsidRPr="008C4486">
        <w:rPr>
          <w:rFonts w:ascii="Times New Roman" w:hAnsi="Times New Roman" w:cs="Times New Roman"/>
          <w:sz w:val="24"/>
          <w:szCs w:val="24"/>
        </w:rPr>
        <w:t>508/2016</w:t>
      </w:r>
      <w:r>
        <w:rPr>
          <w:rFonts w:ascii="Times New Roman" w:hAnsi="Times New Roman" w:cs="Times New Roman"/>
          <w:sz w:val="24"/>
          <w:szCs w:val="24"/>
        </w:rPr>
        <w:t xml:space="preserve">, e, portanto, não podemos mais considerar válidos os argumentos utilizados </w:t>
      </w:r>
      <w:r w:rsidR="00D64A87">
        <w:rPr>
          <w:rFonts w:ascii="Times New Roman" w:hAnsi="Times New Roman" w:cs="Times New Roman"/>
          <w:sz w:val="24"/>
          <w:szCs w:val="24"/>
        </w:rPr>
        <w:t>n</w:t>
      </w:r>
      <w:r w:rsidR="006D6DBB">
        <w:rPr>
          <w:rFonts w:ascii="Times New Roman" w:hAnsi="Times New Roman" w:cs="Times New Roman"/>
          <w:sz w:val="24"/>
          <w:szCs w:val="24"/>
        </w:rPr>
        <w:t>a resposta da consulta anterior trazida pela consulente.</w:t>
      </w:r>
    </w:p>
    <w:p w:rsidR="00530993" w:rsidRDefault="00530993" w:rsidP="00281E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993" w:rsidRDefault="00530993" w:rsidP="00281E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legislador, ao elaborar a LC n.º 183/</w:t>
      </w:r>
      <w:r w:rsidR="006D6D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18, deveria </w:t>
      </w:r>
      <w:r w:rsidR="00D64A87">
        <w:rPr>
          <w:rFonts w:ascii="Times New Roman" w:hAnsi="Times New Roman" w:cs="Times New Roman"/>
          <w:sz w:val="24"/>
          <w:szCs w:val="24"/>
        </w:rPr>
        <w:t xml:space="preserve">ter conhecimento da existência da alínea “c” do inciso VI do artigo 14, e como omitiu esse dispositivo para o </w:t>
      </w:r>
      <w:r w:rsidR="00D64A87">
        <w:rPr>
          <w:rFonts w:ascii="Times New Roman" w:hAnsi="Times New Roman" w:cs="Times New Roman"/>
          <w:sz w:val="24"/>
          <w:szCs w:val="24"/>
        </w:rPr>
        <w:lastRenderedPageBreak/>
        <w:t>aumento suplementar de FECP, entendemos que o fez deliberadamente.</w:t>
      </w:r>
    </w:p>
    <w:p w:rsidR="00530993" w:rsidRDefault="00530993" w:rsidP="00281E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EB3" w:rsidRPr="002152B0" w:rsidRDefault="00851EB3" w:rsidP="00281E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</w:t>
      </w:r>
      <w:r w:rsidR="006D6DBB">
        <w:rPr>
          <w:rFonts w:ascii="Times New Roman" w:hAnsi="Times New Roman" w:cs="Times New Roman"/>
          <w:sz w:val="24"/>
          <w:szCs w:val="24"/>
        </w:rPr>
        <w:t xml:space="preserve">diferentemente do entendimento anterior, não </w:t>
      </w:r>
      <w:r>
        <w:rPr>
          <w:rFonts w:ascii="Times New Roman" w:hAnsi="Times New Roman" w:cs="Times New Roman"/>
          <w:sz w:val="24"/>
          <w:szCs w:val="24"/>
        </w:rPr>
        <w:t xml:space="preserve">se aplica o adicional de 2% à alínea “c” do inciso VI do artigo 14. </w:t>
      </w:r>
      <w:r w:rsidR="006D6DBB">
        <w:rPr>
          <w:rFonts w:ascii="Times New Roman" w:hAnsi="Times New Roman" w:cs="Times New Roman"/>
          <w:sz w:val="24"/>
          <w:szCs w:val="24"/>
        </w:rPr>
        <w:t>Observamos que as operações com energia elétrica nas condições da alínea “c” têm o FECP normal, não devendo ser aplicado apenas o aumento suplementar de 2% previsto na LC n.º 183/2018. Consequentemente, a</w:t>
      </w:r>
      <w:r>
        <w:rPr>
          <w:rFonts w:ascii="Times New Roman" w:hAnsi="Times New Roman" w:cs="Times New Roman"/>
          <w:sz w:val="24"/>
          <w:szCs w:val="24"/>
        </w:rPr>
        <w:t xml:space="preserve">s alíquotas aplicáveis, até 31/12/2019 são de 31% </w:t>
      </w:r>
      <w:r w:rsidRPr="008C4486">
        <w:rPr>
          <w:rFonts w:ascii="Times New Roman" w:hAnsi="Times New Roman" w:cs="Times New Roman"/>
          <w:sz w:val="24"/>
          <w:szCs w:val="24"/>
        </w:rPr>
        <w:t>e 3</w:t>
      </w:r>
      <w:r w:rsidR="00194057" w:rsidRPr="008C4486">
        <w:rPr>
          <w:rFonts w:ascii="Times New Roman" w:hAnsi="Times New Roman" w:cs="Times New Roman"/>
          <w:sz w:val="24"/>
          <w:szCs w:val="24"/>
        </w:rPr>
        <w:t>0</w:t>
      </w:r>
      <w:r w:rsidRPr="008C4486">
        <w:rPr>
          <w:rFonts w:ascii="Times New Roman" w:hAnsi="Times New Roman" w:cs="Times New Roman"/>
          <w:sz w:val="24"/>
          <w:szCs w:val="24"/>
        </w:rPr>
        <w:t>%, respectivamente para as alíneas “b” e “c”.</w:t>
      </w:r>
    </w:p>
    <w:p w:rsidR="00E304B0" w:rsidRDefault="00E304B0" w:rsidP="00281E92">
      <w:pPr>
        <w:widowControl w:val="0"/>
        <w:autoSpaceDE w:val="0"/>
        <w:autoSpaceDN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B0" w:rsidRDefault="00E304B0" w:rsidP="00281E92">
      <w:pPr>
        <w:widowControl w:val="0"/>
        <w:autoSpaceDE w:val="0"/>
        <w:autoSpaceDN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B0" w:rsidRPr="00B92E2E" w:rsidRDefault="00E304B0" w:rsidP="00281E92">
      <w:pPr>
        <w:widowControl w:val="0"/>
        <w:autoSpaceDE w:val="0"/>
        <w:autoSpaceDN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E2E">
        <w:rPr>
          <w:rFonts w:ascii="Times New Roman" w:hAnsi="Times New Roman" w:cs="Times New Roman"/>
          <w:b/>
          <w:sz w:val="24"/>
          <w:szCs w:val="24"/>
        </w:rPr>
        <w:t>III – RESPOSTA</w:t>
      </w:r>
    </w:p>
    <w:p w:rsidR="00A833BB" w:rsidRDefault="00A833BB" w:rsidP="00281E92">
      <w:pPr>
        <w:widowControl w:val="0"/>
        <w:autoSpaceDE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E92" w:rsidRDefault="00281E92" w:rsidP="00281E92">
      <w:pPr>
        <w:widowControl w:val="0"/>
        <w:autoSpaceDE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311F" w:rsidRPr="0031311F" w:rsidRDefault="0031311F" w:rsidP="00281E92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Quanto ao questionamento da consulente respondemos que </w:t>
      </w:r>
      <w:r w:rsidR="00D61556">
        <w:rPr>
          <w:rFonts w:ascii="Times New Roman" w:hAnsi="Times New Roman" w:cs="Times New Roman"/>
          <w:szCs w:val="24"/>
        </w:rPr>
        <w:t>NÃO</w:t>
      </w:r>
      <w:r>
        <w:rPr>
          <w:rFonts w:ascii="Times New Roman" w:hAnsi="Times New Roman" w:cs="Times New Roman"/>
          <w:szCs w:val="24"/>
        </w:rPr>
        <w:t>. A prorrogação do prazo de validade</w:t>
      </w:r>
      <w:r w:rsidR="00E108B6">
        <w:rPr>
          <w:rFonts w:ascii="Times New Roman" w:hAnsi="Times New Roman" w:cs="Times New Roman"/>
          <w:szCs w:val="24"/>
        </w:rPr>
        <w:t>, até 31/12/2019,</w:t>
      </w:r>
      <w:r>
        <w:rPr>
          <w:rFonts w:ascii="Times New Roman" w:hAnsi="Times New Roman" w:cs="Times New Roman"/>
          <w:szCs w:val="24"/>
        </w:rPr>
        <w:t xml:space="preserve"> do aumento suplementar de FECP, promovido pela Lei Complementar n.º 183/2018, </w:t>
      </w:r>
      <w:r w:rsidR="00D61556">
        <w:rPr>
          <w:rFonts w:ascii="Times New Roman" w:hAnsi="Times New Roman" w:cs="Times New Roman"/>
          <w:szCs w:val="24"/>
        </w:rPr>
        <w:t xml:space="preserve">não </w:t>
      </w:r>
      <w:r>
        <w:rPr>
          <w:rFonts w:ascii="Times New Roman" w:hAnsi="Times New Roman" w:cs="Times New Roman"/>
          <w:szCs w:val="24"/>
        </w:rPr>
        <w:t xml:space="preserve">é aplicável também à alínea “c” do inciso VI do </w:t>
      </w:r>
      <w:r w:rsidR="00E108B6">
        <w:rPr>
          <w:rFonts w:ascii="Times New Roman" w:hAnsi="Times New Roman" w:cs="Times New Roman"/>
          <w:szCs w:val="24"/>
        </w:rPr>
        <w:t xml:space="preserve">artigo 14 da Lei n.º 2.657/1996, </w:t>
      </w:r>
      <w:r w:rsidR="00D61556">
        <w:rPr>
          <w:rFonts w:ascii="Times New Roman" w:hAnsi="Times New Roman" w:cs="Times New Roman"/>
          <w:szCs w:val="24"/>
        </w:rPr>
        <w:t xml:space="preserve">devendo ser utilizada a </w:t>
      </w:r>
      <w:r w:rsidR="00E108B6">
        <w:rPr>
          <w:rFonts w:ascii="Times New Roman" w:hAnsi="Times New Roman" w:cs="Times New Roman"/>
          <w:szCs w:val="24"/>
        </w:rPr>
        <w:t>alíquota de 3</w:t>
      </w:r>
      <w:r w:rsidR="00D61556">
        <w:rPr>
          <w:rFonts w:ascii="Times New Roman" w:hAnsi="Times New Roman" w:cs="Times New Roman"/>
          <w:szCs w:val="24"/>
        </w:rPr>
        <w:t>0% para as operações ali previstas.</w:t>
      </w:r>
    </w:p>
    <w:p w:rsidR="004F7343" w:rsidRPr="00B92E2E" w:rsidRDefault="004F7343" w:rsidP="00281E92">
      <w:pPr>
        <w:spacing w:after="0"/>
        <w:ind w:left="1418" w:right="-1" w:hanging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E2E">
        <w:rPr>
          <w:rFonts w:ascii="Times New Roman" w:eastAsia="Calibri" w:hAnsi="Times New Roman" w:cs="Times New Roman"/>
          <w:sz w:val="24"/>
          <w:szCs w:val="24"/>
        </w:rPr>
        <w:t>CCJT, em</w:t>
      </w:r>
      <w:r w:rsidR="008A0FC6" w:rsidRPr="00B92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8B6">
        <w:rPr>
          <w:rFonts w:ascii="Times New Roman" w:eastAsia="Calibri" w:hAnsi="Times New Roman" w:cs="Times New Roman"/>
          <w:sz w:val="24"/>
          <w:szCs w:val="24"/>
        </w:rPr>
        <w:t>1</w:t>
      </w:r>
      <w:r w:rsidR="00281E92">
        <w:rPr>
          <w:rFonts w:ascii="Times New Roman" w:eastAsia="Calibri" w:hAnsi="Times New Roman" w:cs="Times New Roman"/>
          <w:sz w:val="24"/>
          <w:szCs w:val="24"/>
        </w:rPr>
        <w:t>3</w:t>
      </w:r>
      <w:r w:rsidR="00E108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E2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E304B0">
        <w:rPr>
          <w:rFonts w:ascii="Times New Roman" w:eastAsia="Calibri" w:hAnsi="Times New Roman" w:cs="Times New Roman"/>
          <w:sz w:val="24"/>
          <w:szCs w:val="24"/>
        </w:rPr>
        <w:t>março</w:t>
      </w:r>
      <w:r w:rsidR="006160F6" w:rsidRPr="00B92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E2E">
        <w:rPr>
          <w:rFonts w:ascii="Times New Roman" w:eastAsia="Calibri" w:hAnsi="Times New Roman" w:cs="Times New Roman"/>
          <w:sz w:val="24"/>
          <w:szCs w:val="24"/>
        </w:rPr>
        <w:t>de 201</w:t>
      </w:r>
      <w:r w:rsidR="00E304B0">
        <w:rPr>
          <w:rFonts w:ascii="Times New Roman" w:eastAsia="Calibri" w:hAnsi="Times New Roman" w:cs="Times New Roman"/>
          <w:sz w:val="24"/>
          <w:szCs w:val="24"/>
        </w:rPr>
        <w:t>9</w:t>
      </w:r>
      <w:r w:rsidRPr="00B92E2E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F7343" w:rsidRPr="00B92E2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E7" w:rsidRDefault="00A11DE7" w:rsidP="00844903">
      <w:pPr>
        <w:spacing w:after="0" w:line="240" w:lineRule="auto"/>
      </w:pPr>
      <w:r>
        <w:separator/>
      </w:r>
    </w:p>
  </w:endnote>
  <w:endnote w:type="continuationSeparator" w:id="0">
    <w:p w:rsidR="00A11DE7" w:rsidRDefault="00A11DE7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E7" w:rsidRDefault="00A11DE7" w:rsidP="00844903">
      <w:pPr>
        <w:spacing w:after="0" w:line="240" w:lineRule="auto"/>
      </w:pPr>
      <w:r>
        <w:separator/>
      </w:r>
    </w:p>
  </w:footnote>
  <w:footnote w:type="continuationSeparator" w:id="0">
    <w:p w:rsidR="00A11DE7" w:rsidRDefault="00A11DE7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E7" w:rsidRPr="00844903" w:rsidRDefault="00A11DE7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8B1EC" wp14:editId="4C5E876C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DE7" w:rsidRPr="00844903" w:rsidRDefault="00A11DE7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A11DE7" w:rsidRPr="00844903" w:rsidRDefault="00A11DE7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/079 /570 //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9</w:t>
                          </w:r>
                        </w:p>
                        <w:p w:rsidR="00A11DE7" w:rsidRPr="00844903" w:rsidRDefault="00A11DE7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08/02/2019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A11DE7" w:rsidRPr="00844903" w:rsidRDefault="00A11DE7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r w:rsidR="000861E3"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A11DE7" w:rsidRPr="00844903" w:rsidRDefault="00A11DE7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A11DE7" w:rsidRPr="00844903" w:rsidRDefault="00A11DE7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/079 /570 //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</w:rPr>
                      <w:t>9</w:t>
                    </w:r>
                  </w:p>
                  <w:p w:rsidR="00A11DE7" w:rsidRPr="00844903" w:rsidRDefault="00A11DE7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08/02/2019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A11DE7" w:rsidRPr="00844903" w:rsidRDefault="00A11DE7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r w:rsidR="000861E3">
                      <w:rPr>
                        <w:rFonts w:ascii="Times New Roman" w:hAnsi="Times New Roman" w:cs="Times New Roman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17E0828" wp14:editId="3B0BE323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1DE7" w:rsidRPr="00844903" w:rsidRDefault="00A11DE7" w:rsidP="004D13F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A11DE7" w:rsidRPr="00844903" w:rsidRDefault="00A11DE7" w:rsidP="004D13F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A11DE7" w:rsidRPr="00844903" w:rsidRDefault="00A11DE7" w:rsidP="004D13F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A11DE7" w:rsidRPr="00844903" w:rsidRDefault="00A11DE7" w:rsidP="004D13F4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A11DE7" w:rsidRDefault="00A11D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C54DA"/>
    <w:multiLevelType w:val="hybridMultilevel"/>
    <w:tmpl w:val="3E2220F4"/>
    <w:lvl w:ilvl="0" w:tplc="7214DBB6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FB61C3"/>
    <w:multiLevelType w:val="hybridMultilevel"/>
    <w:tmpl w:val="387C7A98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2B6752D6"/>
    <w:multiLevelType w:val="hybridMultilevel"/>
    <w:tmpl w:val="4E9626D8"/>
    <w:lvl w:ilvl="0" w:tplc="1F4C06DA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21D4"/>
    <w:multiLevelType w:val="hybridMultilevel"/>
    <w:tmpl w:val="03D8E180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24"/>
  </w:num>
  <w:num w:numId="9">
    <w:abstractNumId w:val="4"/>
  </w:num>
  <w:num w:numId="10">
    <w:abstractNumId w:val="3"/>
  </w:num>
  <w:num w:numId="11">
    <w:abstractNumId w:val="23"/>
  </w:num>
  <w:num w:numId="12">
    <w:abstractNumId w:val="18"/>
  </w:num>
  <w:num w:numId="13">
    <w:abstractNumId w:val="22"/>
  </w:num>
  <w:num w:numId="14">
    <w:abstractNumId w:val="5"/>
  </w:num>
  <w:num w:numId="15">
    <w:abstractNumId w:val="19"/>
  </w:num>
  <w:num w:numId="16">
    <w:abstractNumId w:val="16"/>
  </w:num>
  <w:num w:numId="17">
    <w:abstractNumId w:val="13"/>
  </w:num>
  <w:num w:numId="18">
    <w:abstractNumId w:val="17"/>
  </w:num>
  <w:num w:numId="19">
    <w:abstractNumId w:val="6"/>
  </w:num>
  <w:num w:numId="20">
    <w:abstractNumId w:val="11"/>
  </w:num>
  <w:num w:numId="21">
    <w:abstractNumId w:val="12"/>
  </w:num>
  <w:num w:numId="22">
    <w:abstractNumId w:val="9"/>
  </w:num>
  <w:num w:numId="23">
    <w:abstractNumId w:val="10"/>
  </w:num>
  <w:num w:numId="24">
    <w:abstractNumId w:val="14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2DCB"/>
    <w:rsid w:val="00013E50"/>
    <w:rsid w:val="0001548B"/>
    <w:rsid w:val="000155AE"/>
    <w:rsid w:val="00015824"/>
    <w:rsid w:val="000212D3"/>
    <w:rsid w:val="00025DF5"/>
    <w:rsid w:val="00027EA3"/>
    <w:rsid w:val="00030404"/>
    <w:rsid w:val="00034034"/>
    <w:rsid w:val="0003550D"/>
    <w:rsid w:val="00035A5B"/>
    <w:rsid w:val="00035BB7"/>
    <w:rsid w:val="00035C8E"/>
    <w:rsid w:val="00037261"/>
    <w:rsid w:val="0004035E"/>
    <w:rsid w:val="0004119C"/>
    <w:rsid w:val="00043F11"/>
    <w:rsid w:val="00043F15"/>
    <w:rsid w:val="00052C67"/>
    <w:rsid w:val="00053890"/>
    <w:rsid w:val="000552FC"/>
    <w:rsid w:val="0005636F"/>
    <w:rsid w:val="00056E52"/>
    <w:rsid w:val="0006046D"/>
    <w:rsid w:val="0006098C"/>
    <w:rsid w:val="00060E83"/>
    <w:rsid w:val="000610B8"/>
    <w:rsid w:val="0006275F"/>
    <w:rsid w:val="00063F4F"/>
    <w:rsid w:val="00065296"/>
    <w:rsid w:val="00070999"/>
    <w:rsid w:val="00071384"/>
    <w:rsid w:val="0007415F"/>
    <w:rsid w:val="000758FC"/>
    <w:rsid w:val="000769F9"/>
    <w:rsid w:val="0007792E"/>
    <w:rsid w:val="00080B7A"/>
    <w:rsid w:val="00082131"/>
    <w:rsid w:val="00082962"/>
    <w:rsid w:val="00085542"/>
    <w:rsid w:val="000861E3"/>
    <w:rsid w:val="0008671E"/>
    <w:rsid w:val="000872DD"/>
    <w:rsid w:val="0008731E"/>
    <w:rsid w:val="000901F0"/>
    <w:rsid w:val="000906D6"/>
    <w:rsid w:val="00090733"/>
    <w:rsid w:val="00090D09"/>
    <w:rsid w:val="000910DD"/>
    <w:rsid w:val="0009330B"/>
    <w:rsid w:val="00093558"/>
    <w:rsid w:val="00096CB4"/>
    <w:rsid w:val="000A007A"/>
    <w:rsid w:val="000A08AF"/>
    <w:rsid w:val="000A15C2"/>
    <w:rsid w:val="000A2356"/>
    <w:rsid w:val="000A3FB6"/>
    <w:rsid w:val="000B1962"/>
    <w:rsid w:val="000B3EDF"/>
    <w:rsid w:val="000B3FE4"/>
    <w:rsid w:val="000B5200"/>
    <w:rsid w:val="000B5CAF"/>
    <w:rsid w:val="000B6201"/>
    <w:rsid w:val="000B65CA"/>
    <w:rsid w:val="000C0F8E"/>
    <w:rsid w:val="000C4AAA"/>
    <w:rsid w:val="000C560B"/>
    <w:rsid w:val="000C63AE"/>
    <w:rsid w:val="000C6D28"/>
    <w:rsid w:val="000D03B4"/>
    <w:rsid w:val="000D2DCF"/>
    <w:rsid w:val="000D3CA4"/>
    <w:rsid w:val="000D6D62"/>
    <w:rsid w:val="000E37BE"/>
    <w:rsid w:val="000E4031"/>
    <w:rsid w:val="000E5822"/>
    <w:rsid w:val="000E5B05"/>
    <w:rsid w:val="000F0B04"/>
    <w:rsid w:val="000F2B9B"/>
    <w:rsid w:val="000F3508"/>
    <w:rsid w:val="000F4F6E"/>
    <w:rsid w:val="000F5D60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2F22"/>
    <w:rsid w:val="0010315D"/>
    <w:rsid w:val="00103D14"/>
    <w:rsid w:val="00104D11"/>
    <w:rsid w:val="001058D9"/>
    <w:rsid w:val="001064CE"/>
    <w:rsid w:val="00106B46"/>
    <w:rsid w:val="0011346B"/>
    <w:rsid w:val="00113B3C"/>
    <w:rsid w:val="00115340"/>
    <w:rsid w:val="001157A6"/>
    <w:rsid w:val="00120EAA"/>
    <w:rsid w:val="001217F9"/>
    <w:rsid w:val="00124726"/>
    <w:rsid w:val="0012476B"/>
    <w:rsid w:val="001247EC"/>
    <w:rsid w:val="001302CD"/>
    <w:rsid w:val="00140A53"/>
    <w:rsid w:val="00140DFA"/>
    <w:rsid w:val="00141E58"/>
    <w:rsid w:val="00142387"/>
    <w:rsid w:val="00142898"/>
    <w:rsid w:val="0014414C"/>
    <w:rsid w:val="00145F77"/>
    <w:rsid w:val="00146333"/>
    <w:rsid w:val="00146903"/>
    <w:rsid w:val="00150614"/>
    <w:rsid w:val="00150B7A"/>
    <w:rsid w:val="001536CB"/>
    <w:rsid w:val="00156EF3"/>
    <w:rsid w:val="00162BA7"/>
    <w:rsid w:val="00166DE9"/>
    <w:rsid w:val="00171423"/>
    <w:rsid w:val="00171A2E"/>
    <w:rsid w:val="001776D2"/>
    <w:rsid w:val="00183D0D"/>
    <w:rsid w:val="00183D46"/>
    <w:rsid w:val="001841BF"/>
    <w:rsid w:val="001843B8"/>
    <w:rsid w:val="00186C57"/>
    <w:rsid w:val="00187C3A"/>
    <w:rsid w:val="00190BF2"/>
    <w:rsid w:val="0019298F"/>
    <w:rsid w:val="00194057"/>
    <w:rsid w:val="00194D0C"/>
    <w:rsid w:val="0019578B"/>
    <w:rsid w:val="00195F24"/>
    <w:rsid w:val="00196D13"/>
    <w:rsid w:val="001973BF"/>
    <w:rsid w:val="00197EDB"/>
    <w:rsid w:val="001A23B8"/>
    <w:rsid w:val="001A25ED"/>
    <w:rsid w:val="001A4C32"/>
    <w:rsid w:val="001A5B11"/>
    <w:rsid w:val="001A68C5"/>
    <w:rsid w:val="001A75C8"/>
    <w:rsid w:val="001B28F9"/>
    <w:rsid w:val="001B2CD2"/>
    <w:rsid w:val="001B50E3"/>
    <w:rsid w:val="001B57C6"/>
    <w:rsid w:val="001B5DE6"/>
    <w:rsid w:val="001B6D4D"/>
    <w:rsid w:val="001C0015"/>
    <w:rsid w:val="001C01B8"/>
    <w:rsid w:val="001C1283"/>
    <w:rsid w:val="001C19F7"/>
    <w:rsid w:val="001C20D8"/>
    <w:rsid w:val="001C6164"/>
    <w:rsid w:val="001C754A"/>
    <w:rsid w:val="001C7C63"/>
    <w:rsid w:val="001D4B2D"/>
    <w:rsid w:val="001D4ED5"/>
    <w:rsid w:val="001E4366"/>
    <w:rsid w:val="001E6D22"/>
    <w:rsid w:val="001E7C09"/>
    <w:rsid w:val="001F019F"/>
    <w:rsid w:val="001F2EED"/>
    <w:rsid w:val="001F3B8B"/>
    <w:rsid w:val="001F6950"/>
    <w:rsid w:val="001F69BD"/>
    <w:rsid w:val="001F7038"/>
    <w:rsid w:val="00202ED0"/>
    <w:rsid w:val="00204D7C"/>
    <w:rsid w:val="00211049"/>
    <w:rsid w:val="00212201"/>
    <w:rsid w:val="00213404"/>
    <w:rsid w:val="002152B0"/>
    <w:rsid w:val="00215701"/>
    <w:rsid w:val="00216323"/>
    <w:rsid w:val="0021798A"/>
    <w:rsid w:val="0022191D"/>
    <w:rsid w:val="002219A3"/>
    <w:rsid w:val="00223A7D"/>
    <w:rsid w:val="002255CF"/>
    <w:rsid w:val="0022591F"/>
    <w:rsid w:val="00226D63"/>
    <w:rsid w:val="0022777A"/>
    <w:rsid w:val="00230C14"/>
    <w:rsid w:val="002325ED"/>
    <w:rsid w:val="00240A7B"/>
    <w:rsid w:val="002436D3"/>
    <w:rsid w:val="00247518"/>
    <w:rsid w:val="00251E93"/>
    <w:rsid w:val="00254AF1"/>
    <w:rsid w:val="002566E8"/>
    <w:rsid w:val="002577BF"/>
    <w:rsid w:val="00262416"/>
    <w:rsid w:val="0026316D"/>
    <w:rsid w:val="002661DC"/>
    <w:rsid w:val="002665CC"/>
    <w:rsid w:val="00267998"/>
    <w:rsid w:val="00272C83"/>
    <w:rsid w:val="00274E50"/>
    <w:rsid w:val="002753D0"/>
    <w:rsid w:val="0027613B"/>
    <w:rsid w:val="00276AF8"/>
    <w:rsid w:val="00281E92"/>
    <w:rsid w:val="002828D4"/>
    <w:rsid w:val="00282A2D"/>
    <w:rsid w:val="002830A4"/>
    <w:rsid w:val="002831DC"/>
    <w:rsid w:val="00283514"/>
    <w:rsid w:val="0028465C"/>
    <w:rsid w:val="00286EF7"/>
    <w:rsid w:val="00293C0D"/>
    <w:rsid w:val="00293E1E"/>
    <w:rsid w:val="00295091"/>
    <w:rsid w:val="00295110"/>
    <w:rsid w:val="00295B98"/>
    <w:rsid w:val="002A0485"/>
    <w:rsid w:val="002A18D1"/>
    <w:rsid w:val="002A197E"/>
    <w:rsid w:val="002A3833"/>
    <w:rsid w:val="002A7F8B"/>
    <w:rsid w:val="002B4366"/>
    <w:rsid w:val="002B74AD"/>
    <w:rsid w:val="002C1FA4"/>
    <w:rsid w:val="002C647E"/>
    <w:rsid w:val="002C6482"/>
    <w:rsid w:val="002D0537"/>
    <w:rsid w:val="002D4397"/>
    <w:rsid w:val="002D53E8"/>
    <w:rsid w:val="002D6DED"/>
    <w:rsid w:val="002D7E70"/>
    <w:rsid w:val="002E027C"/>
    <w:rsid w:val="002E1190"/>
    <w:rsid w:val="002E1E60"/>
    <w:rsid w:val="002E41E2"/>
    <w:rsid w:val="002E554A"/>
    <w:rsid w:val="002E5D1C"/>
    <w:rsid w:val="002E65B7"/>
    <w:rsid w:val="002E71D2"/>
    <w:rsid w:val="002E79E0"/>
    <w:rsid w:val="002F1F02"/>
    <w:rsid w:val="002F42D1"/>
    <w:rsid w:val="002F5A3A"/>
    <w:rsid w:val="002F7FF9"/>
    <w:rsid w:val="00311027"/>
    <w:rsid w:val="0031311F"/>
    <w:rsid w:val="00314181"/>
    <w:rsid w:val="00314BD6"/>
    <w:rsid w:val="00315DE9"/>
    <w:rsid w:val="003161F2"/>
    <w:rsid w:val="003174F8"/>
    <w:rsid w:val="003206CA"/>
    <w:rsid w:val="003212E9"/>
    <w:rsid w:val="00322634"/>
    <w:rsid w:val="003229FF"/>
    <w:rsid w:val="003236E3"/>
    <w:rsid w:val="003273B2"/>
    <w:rsid w:val="00327ECF"/>
    <w:rsid w:val="0033060B"/>
    <w:rsid w:val="00331266"/>
    <w:rsid w:val="00332363"/>
    <w:rsid w:val="00337752"/>
    <w:rsid w:val="003405E0"/>
    <w:rsid w:val="0034168E"/>
    <w:rsid w:val="00343E41"/>
    <w:rsid w:val="003442E5"/>
    <w:rsid w:val="003443E1"/>
    <w:rsid w:val="0034563A"/>
    <w:rsid w:val="00345844"/>
    <w:rsid w:val="0035111B"/>
    <w:rsid w:val="00353188"/>
    <w:rsid w:val="00354931"/>
    <w:rsid w:val="003557FA"/>
    <w:rsid w:val="00355D36"/>
    <w:rsid w:val="00355E3E"/>
    <w:rsid w:val="00356FCA"/>
    <w:rsid w:val="00360B51"/>
    <w:rsid w:val="003634C2"/>
    <w:rsid w:val="00364429"/>
    <w:rsid w:val="00364CFC"/>
    <w:rsid w:val="00367FEC"/>
    <w:rsid w:val="00370A4D"/>
    <w:rsid w:val="00371C5F"/>
    <w:rsid w:val="00371CA6"/>
    <w:rsid w:val="003733A5"/>
    <w:rsid w:val="003745BF"/>
    <w:rsid w:val="00376138"/>
    <w:rsid w:val="003765DA"/>
    <w:rsid w:val="00380309"/>
    <w:rsid w:val="00381BB9"/>
    <w:rsid w:val="00383BD9"/>
    <w:rsid w:val="00384055"/>
    <w:rsid w:val="00384B86"/>
    <w:rsid w:val="00387688"/>
    <w:rsid w:val="00387E65"/>
    <w:rsid w:val="003911F7"/>
    <w:rsid w:val="003913FC"/>
    <w:rsid w:val="00391604"/>
    <w:rsid w:val="003933A3"/>
    <w:rsid w:val="00393A2F"/>
    <w:rsid w:val="00393C45"/>
    <w:rsid w:val="0039423F"/>
    <w:rsid w:val="00395886"/>
    <w:rsid w:val="00396598"/>
    <w:rsid w:val="00396972"/>
    <w:rsid w:val="003973AA"/>
    <w:rsid w:val="003976CA"/>
    <w:rsid w:val="003A1182"/>
    <w:rsid w:val="003A158D"/>
    <w:rsid w:val="003B1993"/>
    <w:rsid w:val="003B25BE"/>
    <w:rsid w:val="003B49CA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2E11"/>
    <w:rsid w:val="003D45F0"/>
    <w:rsid w:val="003D4C2E"/>
    <w:rsid w:val="003D4D2D"/>
    <w:rsid w:val="003D544A"/>
    <w:rsid w:val="003D5B38"/>
    <w:rsid w:val="003F1113"/>
    <w:rsid w:val="003F13F6"/>
    <w:rsid w:val="003F6370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7D11"/>
    <w:rsid w:val="0042079D"/>
    <w:rsid w:val="00425EFA"/>
    <w:rsid w:val="0042689C"/>
    <w:rsid w:val="00426B97"/>
    <w:rsid w:val="00426C1C"/>
    <w:rsid w:val="0043044B"/>
    <w:rsid w:val="00431EAB"/>
    <w:rsid w:val="00432CAB"/>
    <w:rsid w:val="00435503"/>
    <w:rsid w:val="00442D06"/>
    <w:rsid w:val="0044621E"/>
    <w:rsid w:val="0045118E"/>
    <w:rsid w:val="00452C71"/>
    <w:rsid w:val="00456E01"/>
    <w:rsid w:val="00457E93"/>
    <w:rsid w:val="0046330A"/>
    <w:rsid w:val="0046355C"/>
    <w:rsid w:val="0046736D"/>
    <w:rsid w:val="00467EF2"/>
    <w:rsid w:val="00470D1B"/>
    <w:rsid w:val="00475E8B"/>
    <w:rsid w:val="00476AEB"/>
    <w:rsid w:val="00483072"/>
    <w:rsid w:val="00490421"/>
    <w:rsid w:val="00490A61"/>
    <w:rsid w:val="00493941"/>
    <w:rsid w:val="00495E60"/>
    <w:rsid w:val="00495EE8"/>
    <w:rsid w:val="0049609C"/>
    <w:rsid w:val="00496653"/>
    <w:rsid w:val="00496681"/>
    <w:rsid w:val="004977F0"/>
    <w:rsid w:val="004A04FE"/>
    <w:rsid w:val="004A26A7"/>
    <w:rsid w:val="004A2C06"/>
    <w:rsid w:val="004A37B0"/>
    <w:rsid w:val="004A7093"/>
    <w:rsid w:val="004A7251"/>
    <w:rsid w:val="004B0CF0"/>
    <w:rsid w:val="004B0E4D"/>
    <w:rsid w:val="004B266F"/>
    <w:rsid w:val="004B5784"/>
    <w:rsid w:val="004B7BF6"/>
    <w:rsid w:val="004C0A51"/>
    <w:rsid w:val="004C0F0B"/>
    <w:rsid w:val="004C3191"/>
    <w:rsid w:val="004C3F17"/>
    <w:rsid w:val="004C464A"/>
    <w:rsid w:val="004C4E83"/>
    <w:rsid w:val="004C56E6"/>
    <w:rsid w:val="004C63A2"/>
    <w:rsid w:val="004D0160"/>
    <w:rsid w:val="004D13F4"/>
    <w:rsid w:val="004D417F"/>
    <w:rsid w:val="004E3A95"/>
    <w:rsid w:val="004F2997"/>
    <w:rsid w:val="004F32D0"/>
    <w:rsid w:val="004F406A"/>
    <w:rsid w:val="004F7343"/>
    <w:rsid w:val="004F7ED7"/>
    <w:rsid w:val="005008EF"/>
    <w:rsid w:val="00502418"/>
    <w:rsid w:val="005029EB"/>
    <w:rsid w:val="005034A4"/>
    <w:rsid w:val="0051048E"/>
    <w:rsid w:val="005110FF"/>
    <w:rsid w:val="005125E2"/>
    <w:rsid w:val="00513B9A"/>
    <w:rsid w:val="00513BC9"/>
    <w:rsid w:val="00516D75"/>
    <w:rsid w:val="005172AA"/>
    <w:rsid w:val="0052086E"/>
    <w:rsid w:val="005234B4"/>
    <w:rsid w:val="00526848"/>
    <w:rsid w:val="00527733"/>
    <w:rsid w:val="00527B32"/>
    <w:rsid w:val="00530993"/>
    <w:rsid w:val="00530BDC"/>
    <w:rsid w:val="00532DCE"/>
    <w:rsid w:val="00534904"/>
    <w:rsid w:val="00534FEC"/>
    <w:rsid w:val="005357B0"/>
    <w:rsid w:val="0053701A"/>
    <w:rsid w:val="00540B7A"/>
    <w:rsid w:val="0054185F"/>
    <w:rsid w:val="00544A0A"/>
    <w:rsid w:val="00544E74"/>
    <w:rsid w:val="00551A76"/>
    <w:rsid w:val="00551B0D"/>
    <w:rsid w:val="00552FD8"/>
    <w:rsid w:val="0055317D"/>
    <w:rsid w:val="005548F5"/>
    <w:rsid w:val="0055671C"/>
    <w:rsid w:val="005642E6"/>
    <w:rsid w:val="00571090"/>
    <w:rsid w:val="00573A1E"/>
    <w:rsid w:val="005752AD"/>
    <w:rsid w:val="0057608D"/>
    <w:rsid w:val="005779F9"/>
    <w:rsid w:val="00581420"/>
    <w:rsid w:val="00581710"/>
    <w:rsid w:val="0058192E"/>
    <w:rsid w:val="005829E2"/>
    <w:rsid w:val="00582EC0"/>
    <w:rsid w:val="00584A7C"/>
    <w:rsid w:val="00585A64"/>
    <w:rsid w:val="00586544"/>
    <w:rsid w:val="005924AE"/>
    <w:rsid w:val="00592982"/>
    <w:rsid w:val="005935BB"/>
    <w:rsid w:val="0059502F"/>
    <w:rsid w:val="00597A09"/>
    <w:rsid w:val="005A0E80"/>
    <w:rsid w:val="005A114F"/>
    <w:rsid w:val="005A1A25"/>
    <w:rsid w:val="005A52B9"/>
    <w:rsid w:val="005A5856"/>
    <w:rsid w:val="005A5B6C"/>
    <w:rsid w:val="005A72DE"/>
    <w:rsid w:val="005B0BA1"/>
    <w:rsid w:val="005B0BEE"/>
    <w:rsid w:val="005B0E49"/>
    <w:rsid w:val="005B0F1D"/>
    <w:rsid w:val="005B549B"/>
    <w:rsid w:val="005B6880"/>
    <w:rsid w:val="005C0901"/>
    <w:rsid w:val="005C276E"/>
    <w:rsid w:val="005C4F5A"/>
    <w:rsid w:val="005C6BBF"/>
    <w:rsid w:val="005D0ADF"/>
    <w:rsid w:val="005D2A26"/>
    <w:rsid w:val="005D4761"/>
    <w:rsid w:val="005D68EF"/>
    <w:rsid w:val="005D788A"/>
    <w:rsid w:val="005E0AF9"/>
    <w:rsid w:val="005E1267"/>
    <w:rsid w:val="005E333D"/>
    <w:rsid w:val="005E4CCB"/>
    <w:rsid w:val="005E5AFE"/>
    <w:rsid w:val="005E5D85"/>
    <w:rsid w:val="005F10C0"/>
    <w:rsid w:val="005F11D2"/>
    <w:rsid w:val="005F182B"/>
    <w:rsid w:val="005F1AA6"/>
    <w:rsid w:val="005F3B4A"/>
    <w:rsid w:val="005F5FF9"/>
    <w:rsid w:val="005F6671"/>
    <w:rsid w:val="005F7950"/>
    <w:rsid w:val="005F7C68"/>
    <w:rsid w:val="00601210"/>
    <w:rsid w:val="00607CA2"/>
    <w:rsid w:val="006112E7"/>
    <w:rsid w:val="00612518"/>
    <w:rsid w:val="00612681"/>
    <w:rsid w:val="00612C85"/>
    <w:rsid w:val="00613880"/>
    <w:rsid w:val="006146F3"/>
    <w:rsid w:val="00615BF4"/>
    <w:rsid w:val="00615C4A"/>
    <w:rsid w:val="006160F6"/>
    <w:rsid w:val="00623078"/>
    <w:rsid w:val="006238C8"/>
    <w:rsid w:val="00623D44"/>
    <w:rsid w:val="00624D94"/>
    <w:rsid w:val="0063170D"/>
    <w:rsid w:val="006329BB"/>
    <w:rsid w:val="00632C55"/>
    <w:rsid w:val="0063305F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47E7A"/>
    <w:rsid w:val="006505E2"/>
    <w:rsid w:val="00653C72"/>
    <w:rsid w:val="006552A3"/>
    <w:rsid w:val="00655831"/>
    <w:rsid w:val="00657EF1"/>
    <w:rsid w:val="00660747"/>
    <w:rsid w:val="00663FAD"/>
    <w:rsid w:val="00666207"/>
    <w:rsid w:val="006702A7"/>
    <w:rsid w:val="00671A19"/>
    <w:rsid w:val="00672DFD"/>
    <w:rsid w:val="00675726"/>
    <w:rsid w:val="006764B3"/>
    <w:rsid w:val="00676ABC"/>
    <w:rsid w:val="006816DA"/>
    <w:rsid w:val="00681A0A"/>
    <w:rsid w:val="006823F9"/>
    <w:rsid w:val="00690F7F"/>
    <w:rsid w:val="00691B8A"/>
    <w:rsid w:val="006937A3"/>
    <w:rsid w:val="00693F46"/>
    <w:rsid w:val="006A0262"/>
    <w:rsid w:val="006A089E"/>
    <w:rsid w:val="006A2D1A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3DC9"/>
    <w:rsid w:val="006C6B84"/>
    <w:rsid w:val="006C7698"/>
    <w:rsid w:val="006D200A"/>
    <w:rsid w:val="006D4481"/>
    <w:rsid w:val="006D5AFB"/>
    <w:rsid w:val="006D6DBB"/>
    <w:rsid w:val="006D6DD4"/>
    <w:rsid w:val="006D7AB7"/>
    <w:rsid w:val="006E2178"/>
    <w:rsid w:val="006E5061"/>
    <w:rsid w:val="006E5860"/>
    <w:rsid w:val="006E61AC"/>
    <w:rsid w:val="006E785D"/>
    <w:rsid w:val="006F1260"/>
    <w:rsid w:val="006F16CE"/>
    <w:rsid w:val="006F4BAA"/>
    <w:rsid w:val="006F5229"/>
    <w:rsid w:val="006F6E4E"/>
    <w:rsid w:val="006F7381"/>
    <w:rsid w:val="00700ADE"/>
    <w:rsid w:val="00700CA9"/>
    <w:rsid w:val="007034FF"/>
    <w:rsid w:val="00710C04"/>
    <w:rsid w:val="0071136F"/>
    <w:rsid w:val="00712ADA"/>
    <w:rsid w:val="00714D8E"/>
    <w:rsid w:val="00715F7E"/>
    <w:rsid w:val="00716CFC"/>
    <w:rsid w:val="007214F8"/>
    <w:rsid w:val="0072206E"/>
    <w:rsid w:val="0072313C"/>
    <w:rsid w:val="00723AA8"/>
    <w:rsid w:val="00723EB8"/>
    <w:rsid w:val="0072470B"/>
    <w:rsid w:val="00726E8F"/>
    <w:rsid w:val="00727B8A"/>
    <w:rsid w:val="00730975"/>
    <w:rsid w:val="00730E42"/>
    <w:rsid w:val="00730F64"/>
    <w:rsid w:val="00731287"/>
    <w:rsid w:val="007317A0"/>
    <w:rsid w:val="0073290D"/>
    <w:rsid w:val="00734228"/>
    <w:rsid w:val="007368B5"/>
    <w:rsid w:val="00736B25"/>
    <w:rsid w:val="007422D0"/>
    <w:rsid w:val="00744852"/>
    <w:rsid w:val="00745738"/>
    <w:rsid w:val="007461AA"/>
    <w:rsid w:val="00746C43"/>
    <w:rsid w:val="00746F3D"/>
    <w:rsid w:val="007471CA"/>
    <w:rsid w:val="00747672"/>
    <w:rsid w:val="0075045B"/>
    <w:rsid w:val="007523CF"/>
    <w:rsid w:val="00752AAD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75BCC"/>
    <w:rsid w:val="007801DE"/>
    <w:rsid w:val="00781C8E"/>
    <w:rsid w:val="00784CE5"/>
    <w:rsid w:val="00784EFB"/>
    <w:rsid w:val="007850BF"/>
    <w:rsid w:val="00785153"/>
    <w:rsid w:val="0078559E"/>
    <w:rsid w:val="00795826"/>
    <w:rsid w:val="0079763A"/>
    <w:rsid w:val="007A12AC"/>
    <w:rsid w:val="007A1819"/>
    <w:rsid w:val="007A2C0B"/>
    <w:rsid w:val="007A2CF4"/>
    <w:rsid w:val="007A39AB"/>
    <w:rsid w:val="007A3CE1"/>
    <w:rsid w:val="007A6E2C"/>
    <w:rsid w:val="007A6EA3"/>
    <w:rsid w:val="007A7B40"/>
    <w:rsid w:val="007B0485"/>
    <w:rsid w:val="007B1EDD"/>
    <w:rsid w:val="007B7370"/>
    <w:rsid w:val="007C2F46"/>
    <w:rsid w:val="007C399F"/>
    <w:rsid w:val="007C50BF"/>
    <w:rsid w:val="007C597D"/>
    <w:rsid w:val="007C6755"/>
    <w:rsid w:val="007D0F8B"/>
    <w:rsid w:val="007D1595"/>
    <w:rsid w:val="007D2DE0"/>
    <w:rsid w:val="007D3AAE"/>
    <w:rsid w:val="007D5798"/>
    <w:rsid w:val="007D5CF6"/>
    <w:rsid w:val="007D7DA1"/>
    <w:rsid w:val="007E0901"/>
    <w:rsid w:val="007E1873"/>
    <w:rsid w:val="007E2AEC"/>
    <w:rsid w:val="007E588C"/>
    <w:rsid w:val="007E72AD"/>
    <w:rsid w:val="007F043B"/>
    <w:rsid w:val="007F0E58"/>
    <w:rsid w:val="007F1181"/>
    <w:rsid w:val="007F52CE"/>
    <w:rsid w:val="007F63BF"/>
    <w:rsid w:val="007F78A5"/>
    <w:rsid w:val="008017DB"/>
    <w:rsid w:val="00804ED4"/>
    <w:rsid w:val="008068DA"/>
    <w:rsid w:val="008073D4"/>
    <w:rsid w:val="00811041"/>
    <w:rsid w:val="008113CD"/>
    <w:rsid w:val="0081152F"/>
    <w:rsid w:val="00812B4A"/>
    <w:rsid w:val="00813854"/>
    <w:rsid w:val="00813E3A"/>
    <w:rsid w:val="00815F3A"/>
    <w:rsid w:val="008163FD"/>
    <w:rsid w:val="0081796C"/>
    <w:rsid w:val="00822310"/>
    <w:rsid w:val="008226BA"/>
    <w:rsid w:val="008230CB"/>
    <w:rsid w:val="00825D44"/>
    <w:rsid w:val="00826391"/>
    <w:rsid w:val="00826D15"/>
    <w:rsid w:val="008277A3"/>
    <w:rsid w:val="00830854"/>
    <w:rsid w:val="00831039"/>
    <w:rsid w:val="00832918"/>
    <w:rsid w:val="00832AB0"/>
    <w:rsid w:val="008437E8"/>
    <w:rsid w:val="00844903"/>
    <w:rsid w:val="008453BE"/>
    <w:rsid w:val="00845979"/>
    <w:rsid w:val="00851EB3"/>
    <w:rsid w:val="00851F19"/>
    <w:rsid w:val="00852A2B"/>
    <w:rsid w:val="00856FEC"/>
    <w:rsid w:val="008573A1"/>
    <w:rsid w:val="00857821"/>
    <w:rsid w:val="00857868"/>
    <w:rsid w:val="008626DC"/>
    <w:rsid w:val="00863084"/>
    <w:rsid w:val="0086318F"/>
    <w:rsid w:val="00864A7E"/>
    <w:rsid w:val="00864D51"/>
    <w:rsid w:val="008654A1"/>
    <w:rsid w:val="00870934"/>
    <w:rsid w:val="008710CE"/>
    <w:rsid w:val="00871F1C"/>
    <w:rsid w:val="00872D53"/>
    <w:rsid w:val="00873BAE"/>
    <w:rsid w:val="00876EDE"/>
    <w:rsid w:val="00880597"/>
    <w:rsid w:val="00880620"/>
    <w:rsid w:val="00880A61"/>
    <w:rsid w:val="008851A4"/>
    <w:rsid w:val="008907C5"/>
    <w:rsid w:val="00891518"/>
    <w:rsid w:val="00891A45"/>
    <w:rsid w:val="00897401"/>
    <w:rsid w:val="008A0F2F"/>
    <w:rsid w:val="008A0FC6"/>
    <w:rsid w:val="008A11BA"/>
    <w:rsid w:val="008A381E"/>
    <w:rsid w:val="008A4108"/>
    <w:rsid w:val="008A4A6F"/>
    <w:rsid w:val="008A5EC7"/>
    <w:rsid w:val="008A7A4E"/>
    <w:rsid w:val="008B0432"/>
    <w:rsid w:val="008B047E"/>
    <w:rsid w:val="008B1293"/>
    <w:rsid w:val="008B542E"/>
    <w:rsid w:val="008B62CE"/>
    <w:rsid w:val="008B6416"/>
    <w:rsid w:val="008C01D1"/>
    <w:rsid w:val="008C03AC"/>
    <w:rsid w:val="008C07AE"/>
    <w:rsid w:val="008C16BA"/>
    <w:rsid w:val="008C2C2F"/>
    <w:rsid w:val="008C3000"/>
    <w:rsid w:val="008C31CE"/>
    <w:rsid w:val="008C4486"/>
    <w:rsid w:val="008C55DC"/>
    <w:rsid w:val="008C5921"/>
    <w:rsid w:val="008C5AAC"/>
    <w:rsid w:val="008C658D"/>
    <w:rsid w:val="008D5796"/>
    <w:rsid w:val="008D698D"/>
    <w:rsid w:val="008D6D3B"/>
    <w:rsid w:val="008D781C"/>
    <w:rsid w:val="008E0274"/>
    <w:rsid w:val="008E032D"/>
    <w:rsid w:val="008E2D4D"/>
    <w:rsid w:val="008E3811"/>
    <w:rsid w:val="008E56F9"/>
    <w:rsid w:val="008F27CD"/>
    <w:rsid w:val="008F2D72"/>
    <w:rsid w:val="008F5C7C"/>
    <w:rsid w:val="008F5EC4"/>
    <w:rsid w:val="0090166F"/>
    <w:rsid w:val="00903263"/>
    <w:rsid w:val="00905210"/>
    <w:rsid w:val="009075B6"/>
    <w:rsid w:val="009132FB"/>
    <w:rsid w:val="00913767"/>
    <w:rsid w:val="00913851"/>
    <w:rsid w:val="0091411D"/>
    <w:rsid w:val="00915601"/>
    <w:rsid w:val="00916DF8"/>
    <w:rsid w:val="009177BA"/>
    <w:rsid w:val="00920B27"/>
    <w:rsid w:val="009218AE"/>
    <w:rsid w:val="0092229E"/>
    <w:rsid w:val="0092350E"/>
    <w:rsid w:val="00923CC4"/>
    <w:rsid w:val="009259BB"/>
    <w:rsid w:val="00926B82"/>
    <w:rsid w:val="0093355C"/>
    <w:rsid w:val="00935171"/>
    <w:rsid w:val="00935F30"/>
    <w:rsid w:val="00941554"/>
    <w:rsid w:val="00941770"/>
    <w:rsid w:val="009440FC"/>
    <w:rsid w:val="00945947"/>
    <w:rsid w:val="00953F7D"/>
    <w:rsid w:val="0096124F"/>
    <w:rsid w:val="00961C22"/>
    <w:rsid w:val="0096264E"/>
    <w:rsid w:val="00962724"/>
    <w:rsid w:val="009632F7"/>
    <w:rsid w:val="009639F8"/>
    <w:rsid w:val="009735DC"/>
    <w:rsid w:val="00973781"/>
    <w:rsid w:val="0097482A"/>
    <w:rsid w:val="009772FD"/>
    <w:rsid w:val="009811BF"/>
    <w:rsid w:val="0098268D"/>
    <w:rsid w:val="00984399"/>
    <w:rsid w:val="009852E5"/>
    <w:rsid w:val="009862F2"/>
    <w:rsid w:val="009907FB"/>
    <w:rsid w:val="00992785"/>
    <w:rsid w:val="00992AB3"/>
    <w:rsid w:val="0099500E"/>
    <w:rsid w:val="009979EB"/>
    <w:rsid w:val="00997C9D"/>
    <w:rsid w:val="009A1664"/>
    <w:rsid w:val="009A3437"/>
    <w:rsid w:val="009A34CD"/>
    <w:rsid w:val="009A3DAA"/>
    <w:rsid w:val="009A455A"/>
    <w:rsid w:val="009A774F"/>
    <w:rsid w:val="009B20B3"/>
    <w:rsid w:val="009B2A7F"/>
    <w:rsid w:val="009B3317"/>
    <w:rsid w:val="009B33A4"/>
    <w:rsid w:val="009B578D"/>
    <w:rsid w:val="009B6AE8"/>
    <w:rsid w:val="009B708A"/>
    <w:rsid w:val="009C0C31"/>
    <w:rsid w:val="009C28A2"/>
    <w:rsid w:val="009C37CD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3F33"/>
    <w:rsid w:val="009D44A0"/>
    <w:rsid w:val="009D6121"/>
    <w:rsid w:val="009D66F5"/>
    <w:rsid w:val="009E1A13"/>
    <w:rsid w:val="009E1AD0"/>
    <w:rsid w:val="009E2AC8"/>
    <w:rsid w:val="009E41C3"/>
    <w:rsid w:val="009E71F6"/>
    <w:rsid w:val="009F0804"/>
    <w:rsid w:val="009F6885"/>
    <w:rsid w:val="009F7CB4"/>
    <w:rsid w:val="00A0060B"/>
    <w:rsid w:val="00A0088A"/>
    <w:rsid w:val="00A02E6C"/>
    <w:rsid w:val="00A03470"/>
    <w:rsid w:val="00A037F2"/>
    <w:rsid w:val="00A03F99"/>
    <w:rsid w:val="00A05F57"/>
    <w:rsid w:val="00A06B8D"/>
    <w:rsid w:val="00A11DE7"/>
    <w:rsid w:val="00A129C3"/>
    <w:rsid w:val="00A15768"/>
    <w:rsid w:val="00A167C6"/>
    <w:rsid w:val="00A20B57"/>
    <w:rsid w:val="00A21339"/>
    <w:rsid w:val="00A22B00"/>
    <w:rsid w:val="00A26701"/>
    <w:rsid w:val="00A33ACB"/>
    <w:rsid w:val="00A369C7"/>
    <w:rsid w:val="00A40E14"/>
    <w:rsid w:val="00A42183"/>
    <w:rsid w:val="00A4243D"/>
    <w:rsid w:val="00A42639"/>
    <w:rsid w:val="00A43D73"/>
    <w:rsid w:val="00A44736"/>
    <w:rsid w:val="00A5228D"/>
    <w:rsid w:val="00A545E7"/>
    <w:rsid w:val="00A60119"/>
    <w:rsid w:val="00A6228A"/>
    <w:rsid w:val="00A629AE"/>
    <w:rsid w:val="00A62C6C"/>
    <w:rsid w:val="00A638ED"/>
    <w:rsid w:val="00A63B3E"/>
    <w:rsid w:val="00A66948"/>
    <w:rsid w:val="00A6751C"/>
    <w:rsid w:val="00A74D07"/>
    <w:rsid w:val="00A754E6"/>
    <w:rsid w:val="00A811FB"/>
    <w:rsid w:val="00A833BB"/>
    <w:rsid w:val="00A860DA"/>
    <w:rsid w:val="00A87923"/>
    <w:rsid w:val="00A92883"/>
    <w:rsid w:val="00A92ED7"/>
    <w:rsid w:val="00A95616"/>
    <w:rsid w:val="00A96531"/>
    <w:rsid w:val="00AA18E5"/>
    <w:rsid w:val="00AA1C57"/>
    <w:rsid w:val="00AA1E9B"/>
    <w:rsid w:val="00AA25E1"/>
    <w:rsid w:val="00AA26B1"/>
    <w:rsid w:val="00AA2B2B"/>
    <w:rsid w:val="00AB06D5"/>
    <w:rsid w:val="00AB35F5"/>
    <w:rsid w:val="00AB3C57"/>
    <w:rsid w:val="00AB5364"/>
    <w:rsid w:val="00AB5ACD"/>
    <w:rsid w:val="00AB6B5A"/>
    <w:rsid w:val="00AB79D9"/>
    <w:rsid w:val="00AC13CB"/>
    <w:rsid w:val="00AC1500"/>
    <w:rsid w:val="00AC2AD0"/>
    <w:rsid w:val="00AC36DE"/>
    <w:rsid w:val="00AC4B95"/>
    <w:rsid w:val="00AC563D"/>
    <w:rsid w:val="00AC7240"/>
    <w:rsid w:val="00AC7AC9"/>
    <w:rsid w:val="00AD1B44"/>
    <w:rsid w:val="00AD2ED0"/>
    <w:rsid w:val="00AD32AD"/>
    <w:rsid w:val="00AD4C32"/>
    <w:rsid w:val="00AD4D66"/>
    <w:rsid w:val="00AD648E"/>
    <w:rsid w:val="00AD6E40"/>
    <w:rsid w:val="00AD6E8C"/>
    <w:rsid w:val="00AD77CC"/>
    <w:rsid w:val="00AE0795"/>
    <w:rsid w:val="00AE3563"/>
    <w:rsid w:val="00AE3BE2"/>
    <w:rsid w:val="00AE4E82"/>
    <w:rsid w:val="00AF10FF"/>
    <w:rsid w:val="00AF2A76"/>
    <w:rsid w:val="00AF444B"/>
    <w:rsid w:val="00B01A48"/>
    <w:rsid w:val="00B034DA"/>
    <w:rsid w:val="00B04B1B"/>
    <w:rsid w:val="00B05936"/>
    <w:rsid w:val="00B1178F"/>
    <w:rsid w:val="00B16ADE"/>
    <w:rsid w:val="00B22163"/>
    <w:rsid w:val="00B2263B"/>
    <w:rsid w:val="00B257A3"/>
    <w:rsid w:val="00B26987"/>
    <w:rsid w:val="00B27687"/>
    <w:rsid w:val="00B27F77"/>
    <w:rsid w:val="00B303CB"/>
    <w:rsid w:val="00B314CA"/>
    <w:rsid w:val="00B32413"/>
    <w:rsid w:val="00B36BB6"/>
    <w:rsid w:val="00B37362"/>
    <w:rsid w:val="00B376C6"/>
    <w:rsid w:val="00B377C5"/>
    <w:rsid w:val="00B428B8"/>
    <w:rsid w:val="00B429E5"/>
    <w:rsid w:val="00B43B24"/>
    <w:rsid w:val="00B45097"/>
    <w:rsid w:val="00B4519D"/>
    <w:rsid w:val="00B452E2"/>
    <w:rsid w:val="00B46465"/>
    <w:rsid w:val="00B4704B"/>
    <w:rsid w:val="00B50F8D"/>
    <w:rsid w:val="00B542C8"/>
    <w:rsid w:val="00B549A0"/>
    <w:rsid w:val="00B54AEE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841D1"/>
    <w:rsid w:val="00B91213"/>
    <w:rsid w:val="00B91DFE"/>
    <w:rsid w:val="00B92E2E"/>
    <w:rsid w:val="00B92F9C"/>
    <w:rsid w:val="00B934CD"/>
    <w:rsid w:val="00B95E6D"/>
    <w:rsid w:val="00BA022B"/>
    <w:rsid w:val="00BA258D"/>
    <w:rsid w:val="00BA65E2"/>
    <w:rsid w:val="00BA6764"/>
    <w:rsid w:val="00BA6900"/>
    <w:rsid w:val="00BA733D"/>
    <w:rsid w:val="00BB09A4"/>
    <w:rsid w:val="00BB0D0C"/>
    <w:rsid w:val="00BB22C9"/>
    <w:rsid w:val="00BB5252"/>
    <w:rsid w:val="00BB6263"/>
    <w:rsid w:val="00BB73D9"/>
    <w:rsid w:val="00BB74C6"/>
    <w:rsid w:val="00BC051C"/>
    <w:rsid w:val="00BC404F"/>
    <w:rsid w:val="00BC4A58"/>
    <w:rsid w:val="00BC78E7"/>
    <w:rsid w:val="00BD1C34"/>
    <w:rsid w:val="00BD284F"/>
    <w:rsid w:val="00BD30C8"/>
    <w:rsid w:val="00BD5A99"/>
    <w:rsid w:val="00BE00C1"/>
    <w:rsid w:val="00BE1EDD"/>
    <w:rsid w:val="00BE26DC"/>
    <w:rsid w:val="00BE2B70"/>
    <w:rsid w:val="00BE3A00"/>
    <w:rsid w:val="00BE7B7A"/>
    <w:rsid w:val="00BF1083"/>
    <w:rsid w:val="00BF3FC1"/>
    <w:rsid w:val="00BF52D0"/>
    <w:rsid w:val="00BF674B"/>
    <w:rsid w:val="00BF7613"/>
    <w:rsid w:val="00BF7EB6"/>
    <w:rsid w:val="00C008FD"/>
    <w:rsid w:val="00C00FD0"/>
    <w:rsid w:val="00C03ABE"/>
    <w:rsid w:val="00C03D76"/>
    <w:rsid w:val="00C06529"/>
    <w:rsid w:val="00C111D8"/>
    <w:rsid w:val="00C12DEF"/>
    <w:rsid w:val="00C1770E"/>
    <w:rsid w:val="00C20B10"/>
    <w:rsid w:val="00C23148"/>
    <w:rsid w:val="00C2658F"/>
    <w:rsid w:val="00C27492"/>
    <w:rsid w:val="00C30515"/>
    <w:rsid w:val="00C30A0D"/>
    <w:rsid w:val="00C341E5"/>
    <w:rsid w:val="00C34617"/>
    <w:rsid w:val="00C36E26"/>
    <w:rsid w:val="00C3743A"/>
    <w:rsid w:val="00C42661"/>
    <w:rsid w:val="00C43103"/>
    <w:rsid w:val="00C46441"/>
    <w:rsid w:val="00C46693"/>
    <w:rsid w:val="00C532EC"/>
    <w:rsid w:val="00C55E20"/>
    <w:rsid w:val="00C56329"/>
    <w:rsid w:val="00C57499"/>
    <w:rsid w:val="00C6020C"/>
    <w:rsid w:val="00C61FC6"/>
    <w:rsid w:val="00C62506"/>
    <w:rsid w:val="00C628E5"/>
    <w:rsid w:val="00C65CEE"/>
    <w:rsid w:val="00C65FCA"/>
    <w:rsid w:val="00C72ECA"/>
    <w:rsid w:val="00C75BC7"/>
    <w:rsid w:val="00C839E1"/>
    <w:rsid w:val="00C9336D"/>
    <w:rsid w:val="00C9467A"/>
    <w:rsid w:val="00C97480"/>
    <w:rsid w:val="00C9757A"/>
    <w:rsid w:val="00CA1364"/>
    <w:rsid w:val="00CA1A0E"/>
    <w:rsid w:val="00CA273F"/>
    <w:rsid w:val="00CA3D38"/>
    <w:rsid w:val="00CA3F68"/>
    <w:rsid w:val="00CA5620"/>
    <w:rsid w:val="00CA6961"/>
    <w:rsid w:val="00CA7E6A"/>
    <w:rsid w:val="00CB596E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D4B9B"/>
    <w:rsid w:val="00CE1980"/>
    <w:rsid w:val="00CE34FB"/>
    <w:rsid w:val="00CE5E6D"/>
    <w:rsid w:val="00CE73F5"/>
    <w:rsid w:val="00CE7A5D"/>
    <w:rsid w:val="00CF5485"/>
    <w:rsid w:val="00CF68E6"/>
    <w:rsid w:val="00CF7FB2"/>
    <w:rsid w:val="00D008B5"/>
    <w:rsid w:val="00D03429"/>
    <w:rsid w:val="00D0386C"/>
    <w:rsid w:val="00D04817"/>
    <w:rsid w:val="00D05DEC"/>
    <w:rsid w:val="00D1003B"/>
    <w:rsid w:val="00D10382"/>
    <w:rsid w:val="00D10B61"/>
    <w:rsid w:val="00D10E01"/>
    <w:rsid w:val="00D1483C"/>
    <w:rsid w:val="00D15825"/>
    <w:rsid w:val="00D161C2"/>
    <w:rsid w:val="00D17BBA"/>
    <w:rsid w:val="00D21E9D"/>
    <w:rsid w:val="00D23A18"/>
    <w:rsid w:val="00D23C52"/>
    <w:rsid w:val="00D23F97"/>
    <w:rsid w:val="00D24529"/>
    <w:rsid w:val="00D24DE3"/>
    <w:rsid w:val="00D27DF3"/>
    <w:rsid w:val="00D36FF1"/>
    <w:rsid w:val="00D37915"/>
    <w:rsid w:val="00D41CBA"/>
    <w:rsid w:val="00D42760"/>
    <w:rsid w:val="00D4315B"/>
    <w:rsid w:val="00D43351"/>
    <w:rsid w:val="00D44494"/>
    <w:rsid w:val="00D44A63"/>
    <w:rsid w:val="00D4562C"/>
    <w:rsid w:val="00D47873"/>
    <w:rsid w:val="00D52FBC"/>
    <w:rsid w:val="00D56141"/>
    <w:rsid w:val="00D57935"/>
    <w:rsid w:val="00D61556"/>
    <w:rsid w:val="00D61B6D"/>
    <w:rsid w:val="00D64A87"/>
    <w:rsid w:val="00D64EAC"/>
    <w:rsid w:val="00D651FE"/>
    <w:rsid w:val="00D6762A"/>
    <w:rsid w:val="00D7018B"/>
    <w:rsid w:val="00D7029B"/>
    <w:rsid w:val="00D70E2E"/>
    <w:rsid w:val="00D70FDF"/>
    <w:rsid w:val="00D715A1"/>
    <w:rsid w:val="00D72061"/>
    <w:rsid w:val="00D74807"/>
    <w:rsid w:val="00D77F22"/>
    <w:rsid w:val="00D82811"/>
    <w:rsid w:val="00D875A0"/>
    <w:rsid w:val="00D9005D"/>
    <w:rsid w:val="00D9035C"/>
    <w:rsid w:val="00D90D2F"/>
    <w:rsid w:val="00D9252B"/>
    <w:rsid w:val="00D93C56"/>
    <w:rsid w:val="00D94DA7"/>
    <w:rsid w:val="00D96F4D"/>
    <w:rsid w:val="00D97423"/>
    <w:rsid w:val="00DA282E"/>
    <w:rsid w:val="00DA3AB4"/>
    <w:rsid w:val="00DA4E75"/>
    <w:rsid w:val="00DA71D7"/>
    <w:rsid w:val="00DA73F0"/>
    <w:rsid w:val="00DB2442"/>
    <w:rsid w:val="00DB43FF"/>
    <w:rsid w:val="00DB4DEE"/>
    <w:rsid w:val="00DB5183"/>
    <w:rsid w:val="00DB6659"/>
    <w:rsid w:val="00DC0294"/>
    <w:rsid w:val="00DC33DC"/>
    <w:rsid w:val="00DC50D8"/>
    <w:rsid w:val="00DC664E"/>
    <w:rsid w:val="00DD035D"/>
    <w:rsid w:val="00DD0FC1"/>
    <w:rsid w:val="00DD232D"/>
    <w:rsid w:val="00DD2A81"/>
    <w:rsid w:val="00DD4584"/>
    <w:rsid w:val="00DD5572"/>
    <w:rsid w:val="00DD6E7E"/>
    <w:rsid w:val="00DE1A3C"/>
    <w:rsid w:val="00DE26C6"/>
    <w:rsid w:val="00DE26C9"/>
    <w:rsid w:val="00DF0163"/>
    <w:rsid w:val="00DF38EA"/>
    <w:rsid w:val="00DF6093"/>
    <w:rsid w:val="00DF725D"/>
    <w:rsid w:val="00E00780"/>
    <w:rsid w:val="00E010DF"/>
    <w:rsid w:val="00E03E69"/>
    <w:rsid w:val="00E107B5"/>
    <w:rsid w:val="00E108B6"/>
    <w:rsid w:val="00E110AD"/>
    <w:rsid w:val="00E114DB"/>
    <w:rsid w:val="00E120CB"/>
    <w:rsid w:val="00E13389"/>
    <w:rsid w:val="00E13C76"/>
    <w:rsid w:val="00E13F37"/>
    <w:rsid w:val="00E16082"/>
    <w:rsid w:val="00E17120"/>
    <w:rsid w:val="00E17325"/>
    <w:rsid w:val="00E17705"/>
    <w:rsid w:val="00E17FCD"/>
    <w:rsid w:val="00E21F75"/>
    <w:rsid w:val="00E25575"/>
    <w:rsid w:val="00E25BD9"/>
    <w:rsid w:val="00E26132"/>
    <w:rsid w:val="00E266C0"/>
    <w:rsid w:val="00E27CC4"/>
    <w:rsid w:val="00E30359"/>
    <w:rsid w:val="00E304B0"/>
    <w:rsid w:val="00E317DA"/>
    <w:rsid w:val="00E323B1"/>
    <w:rsid w:val="00E339A0"/>
    <w:rsid w:val="00E35594"/>
    <w:rsid w:val="00E355F2"/>
    <w:rsid w:val="00E407A2"/>
    <w:rsid w:val="00E41249"/>
    <w:rsid w:val="00E43461"/>
    <w:rsid w:val="00E44B5D"/>
    <w:rsid w:val="00E44E46"/>
    <w:rsid w:val="00E506F3"/>
    <w:rsid w:val="00E50A93"/>
    <w:rsid w:val="00E546A6"/>
    <w:rsid w:val="00E55DCF"/>
    <w:rsid w:val="00E5783B"/>
    <w:rsid w:val="00E6082B"/>
    <w:rsid w:val="00E711AA"/>
    <w:rsid w:val="00E71637"/>
    <w:rsid w:val="00E72EBB"/>
    <w:rsid w:val="00E73752"/>
    <w:rsid w:val="00E73973"/>
    <w:rsid w:val="00E74A24"/>
    <w:rsid w:val="00E76C65"/>
    <w:rsid w:val="00E7730D"/>
    <w:rsid w:val="00E80E2D"/>
    <w:rsid w:val="00E820B7"/>
    <w:rsid w:val="00E83D02"/>
    <w:rsid w:val="00E85508"/>
    <w:rsid w:val="00E85D06"/>
    <w:rsid w:val="00E86716"/>
    <w:rsid w:val="00E86E4B"/>
    <w:rsid w:val="00E87FB4"/>
    <w:rsid w:val="00E90BD0"/>
    <w:rsid w:val="00E96748"/>
    <w:rsid w:val="00E97924"/>
    <w:rsid w:val="00EA106B"/>
    <w:rsid w:val="00EA18AD"/>
    <w:rsid w:val="00EA1A35"/>
    <w:rsid w:val="00EA2253"/>
    <w:rsid w:val="00EA360F"/>
    <w:rsid w:val="00EA3C13"/>
    <w:rsid w:val="00EA72BB"/>
    <w:rsid w:val="00EB06A4"/>
    <w:rsid w:val="00EB21FF"/>
    <w:rsid w:val="00EB4132"/>
    <w:rsid w:val="00EB54C0"/>
    <w:rsid w:val="00EB7EC8"/>
    <w:rsid w:val="00EC6120"/>
    <w:rsid w:val="00EC6B06"/>
    <w:rsid w:val="00ED2A83"/>
    <w:rsid w:val="00ED72DA"/>
    <w:rsid w:val="00EE3738"/>
    <w:rsid w:val="00EE6456"/>
    <w:rsid w:val="00EE67C1"/>
    <w:rsid w:val="00EE68C2"/>
    <w:rsid w:val="00EF1333"/>
    <w:rsid w:val="00EF2FD8"/>
    <w:rsid w:val="00EF32F3"/>
    <w:rsid w:val="00EF3EF8"/>
    <w:rsid w:val="00EF7396"/>
    <w:rsid w:val="00EF77B2"/>
    <w:rsid w:val="00F02476"/>
    <w:rsid w:val="00F02A35"/>
    <w:rsid w:val="00F03CCE"/>
    <w:rsid w:val="00F11528"/>
    <w:rsid w:val="00F115A9"/>
    <w:rsid w:val="00F116B8"/>
    <w:rsid w:val="00F11D5F"/>
    <w:rsid w:val="00F1240D"/>
    <w:rsid w:val="00F1245D"/>
    <w:rsid w:val="00F13571"/>
    <w:rsid w:val="00F15CE6"/>
    <w:rsid w:val="00F163CB"/>
    <w:rsid w:val="00F16465"/>
    <w:rsid w:val="00F17CDD"/>
    <w:rsid w:val="00F2040E"/>
    <w:rsid w:val="00F24910"/>
    <w:rsid w:val="00F24A5E"/>
    <w:rsid w:val="00F2568E"/>
    <w:rsid w:val="00F259FD"/>
    <w:rsid w:val="00F2700C"/>
    <w:rsid w:val="00F273ED"/>
    <w:rsid w:val="00F3169B"/>
    <w:rsid w:val="00F31C9E"/>
    <w:rsid w:val="00F34881"/>
    <w:rsid w:val="00F35818"/>
    <w:rsid w:val="00F4027B"/>
    <w:rsid w:val="00F420F8"/>
    <w:rsid w:val="00F44478"/>
    <w:rsid w:val="00F47569"/>
    <w:rsid w:val="00F514EA"/>
    <w:rsid w:val="00F52B3F"/>
    <w:rsid w:val="00F547A6"/>
    <w:rsid w:val="00F55919"/>
    <w:rsid w:val="00F60253"/>
    <w:rsid w:val="00F620FD"/>
    <w:rsid w:val="00F63FB3"/>
    <w:rsid w:val="00F6579A"/>
    <w:rsid w:val="00F72885"/>
    <w:rsid w:val="00F80216"/>
    <w:rsid w:val="00F810D1"/>
    <w:rsid w:val="00F81F42"/>
    <w:rsid w:val="00F837C5"/>
    <w:rsid w:val="00F84AF9"/>
    <w:rsid w:val="00F8619A"/>
    <w:rsid w:val="00F87C95"/>
    <w:rsid w:val="00F907AC"/>
    <w:rsid w:val="00F91635"/>
    <w:rsid w:val="00F929D8"/>
    <w:rsid w:val="00F94960"/>
    <w:rsid w:val="00F9575C"/>
    <w:rsid w:val="00F96550"/>
    <w:rsid w:val="00F972B2"/>
    <w:rsid w:val="00FA0DC3"/>
    <w:rsid w:val="00FA2C5B"/>
    <w:rsid w:val="00FA3AA0"/>
    <w:rsid w:val="00FA45EF"/>
    <w:rsid w:val="00FA4E8E"/>
    <w:rsid w:val="00FA5759"/>
    <w:rsid w:val="00FA660C"/>
    <w:rsid w:val="00FA744A"/>
    <w:rsid w:val="00FA7F02"/>
    <w:rsid w:val="00FB0A21"/>
    <w:rsid w:val="00FB1B89"/>
    <w:rsid w:val="00FB1BF5"/>
    <w:rsid w:val="00FB309A"/>
    <w:rsid w:val="00FB3F89"/>
    <w:rsid w:val="00FB4EE0"/>
    <w:rsid w:val="00FB4FBC"/>
    <w:rsid w:val="00FB5DA4"/>
    <w:rsid w:val="00FB6DE7"/>
    <w:rsid w:val="00FB7285"/>
    <w:rsid w:val="00FC0345"/>
    <w:rsid w:val="00FC27F0"/>
    <w:rsid w:val="00FC5121"/>
    <w:rsid w:val="00FC5521"/>
    <w:rsid w:val="00FC5A04"/>
    <w:rsid w:val="00FC66C7"/>
    <w:rsid w:val="00FC6849"/>
    <w:rsid w:val="00FC72D2"/>
    <w:rsid w:val="00FC7F28"/>
    <w:rsid w:val="00FD04AF"/>
    <w:rsid w:val="00FD0764"/>
    <w:rsid w:val="00FD0FB9"/>
    <w:rsid w:val="00FD1F5B"/>
    <w:rsid w:val="00FD2056"/>
    <w:rsid w:val="00FD2B61"/>
    <w:rsid w:val="00FD6074"/>
    <w:rsid w:val="00FD771A"/>
    <w:rsid w:val="00FE19FE"/>
    <w:rsid w:val="00FE31A9"/>
    <w:rsid w:val="00FE4AB7"/>
    <w:rsid w:val="00FF242A"/>
    <w:rsid w:val="00FF2B08"/>
    <w:rsid w:val="00FF4215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8FF6-19DE-4E94-84A0-CB5DFBC6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2</cp:revision>
  <cp:lastPrinted>2019-03-11T17:57:00Z</cp:lastPrinted>
  <dcterms:created xsi:type="dcterms:W3CDTF">2019-03-15T18:51:00Z</dcterms:created>
  <dcterms:modified xsi:type="dcterms:W3CDTF">2019-03-15T18:51:00Z</dcterms:modified>
</cp:coreProperties>
</file>