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350AA3" w:rsidRPr="006F06F0" w:rsidTr="00DB1E90">
        <w:trPr>
          <w:trHeight w:val="57"/>
        </w:trPr>
        <w:tc>
          <w:tcPr>
            <w:tcW w:w="1488" w:type="dxa"/>
            <w:tcBorders>
              <w:top w:val="nil"/>
              <w:left w:val="nil"/>
              <w:bottom w:val="nil"/>
              <w:right w:val="nil"/>
            </w:tcBorders>
          </w:tcPr>
          <w:p w:rsidR="00350AA3" w:rsidRPr="006F06F0" w:rsidRDefault="00350AA3" w:rsidP="00DB1E90">
            <w:pPr>
              <w:pStyle w:val="Ttulo2"/>
              <w:ind w:right="-1"/>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350AA3" w:rsidRPr="006F06F0" w:rsidRDefault="00350AA3" w:rsidP="00DB1E90">
            <w:pPr>
              <w:spacing w:after="0"/>
              <w:ind w:left="-169" w:right="-1"/>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350AA3" w:rsidRPr="00F4423A" w:rsidRDefault="00DD5B59" w:rsidP="00A31322">
            <w:pPr>
              <w:pStyle w:val="Ttulo2"/>
              <w:ind w:right="-1"/>
              <w:jc w:val="both"/>
              <w:rPr>
                <w:rFonts w:ascii="Times New Roman" w:hAnsi="Times New Roman"/>
                <w:szCs w:val="22"/>
              </w:rPr>
            </w:pPr>
            <w:r>
              <w:rPr>
                <w:rFonts w:ascii="Times New Roman" w:hAnsi="Times New Roman"/>
              </w:rPr>
              <w:t>Emenda Constitucional n° 87/2015</w:t>
            </w:r>
            <w:r w:rsidR="00A31322">
              <w:rPr>
                <w:rFonts w:ascii="Times New Roman" w:hAnsi="Times New Roman"/>
              </w:rPr>
              <w:t xml:space="preserve"> - </w:t>
            </w:r>
            <w:bookmarkStart w:id="0" w:name="_GoBack"/>
            <w:bookmarkEnd w:id="0"/>
            <w:r>
              <w:rPr>
                <w:rFonts w:ascii="Times New Roman" w:hAnsi="Times New Roman"/>
                <w:szCs w:val="22"/>
              </w:rPr>
              <w:t>alíquota aplicável para fins de cálculo da diferença de alíquotas de ICMS em operações interestaduais destinadas a não contribuinte.</w:t>
            </w:r>
          </w:p>
        </w:tc>
      </w:tr>
      <w:tr w:rsidR="00D47680" w:rsidRPr="006F06F0" w:rsidTr="00467517">
        <w:trPr>
          <w:trHeight w:val="57"/>
        </w:trPr>
        <w:tc>
          <w:tcPr>
            <w:tcW w:w="1488" w:type="dxa"/>
            <w:tcBorders>
              <w:top w:val="nil"/>
              <w:left w:val="nil"/>
              <w:bottom w:val="nil"/>
              <w:right w:val="nil"/>
            </w:tcBorders>
          </w:tcPr>
          <w:p w:rsidR="00D47680" w:rsidRPr="006F06F0" w:rsidRDefault="00D47680" w:rsidP="00467517">
            <w:pPr>
              <w:pStyle w:val="Ttulo2"/>
              <w:ind w:right="-852"/>
              <w:rPr>
                <w:rFonts w:ascii="Times New Roman" w:hAnsi="Times New Roman"/>
                <w:szCs w:val="22"/>
              </w:rPr>
            </w:pPr>
          </w:p>
        </w:tc>
        <w:tc>
          <w:tcPr>
            <w:tcW w:w="425" w:type="dxa"/>
            <w:tcBorders>
              <w:top w:val="nil"/>
              <w:left w:val="nil"/>
              <w:bottom w:val="nil"/>
              <w:right w:val="nil"/>
            </w:tcBorders>
          </w:tcPr>
          <w:p w:rsidR="00D47680" w:rsidRPr="006F06F0" w:rsidRDefault="00D47680" w:rsidP="00467517">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D47680" w:rsidRPr="002C092A" w:rsidRDefault="00D47680" w:rsidP="00467517">
            <w:pPr>
              <w:pStyle w:val="Ttulo2"/>
              <w:ind w:right="72"/>
              <w:jc w:val="right"/>
              <w:rPr>
                <w:rFonts w:ascii="Times New Roman" w:hAnsi="Times New Roman"/>
                <w:sz w:val="8"/>
                <w:szCs w:val="22"/>
              </w:rPr>
            </w:pPr>
          </w:p>
          <w:p w:rsidR="00D47680" w:rsidRPr="00CD274E" w:rsidRDefault="00D47680" w:rsidP="00467517">
            <w:pPr>
              <w:pStyle w:val="Ttulo2"/>
              <w:ind w:right="72"/>
              <w:jc w:val="right"/>
              <w:rPr>
                <w:rFonts w:ascii="Times New Roman" w:hAnsi="Times New Roman"/>
                <w:sz w:val="12"/>
                <w:szCs w:val="22"/>
              </w:rPr>
            </w:pPr>
          </w:p>
          <w:p w:rsidR="00D47680" w:rsidRPr="006F06F0" w:rsidRDefault="00D47680" w:rsidP="00467517">
            <w:pPr>
              <w:pStyle w:val="Ttulo2"/>
              <w:ind w:right="72"/>
              <w:jc w:val="right"/>
              <w:rPr>
                <w:rFonts w:ascii="Times New Roman" w:hAnsi="Times New Roman"/>
                <w:szCs w:val="22"/>
              </w:rPr>
            </w:pPr>
            <w:r w:rsidRPr="006F06F0">
              <w:rPr>
                <w:rFonts w:ascii="Times New Roman" w:hAnsi="Times New Roman"/>
                <w:szCs w:val="22"/>
              </w:rPr>
              <w:t>Consulta nº</w:t>
            </w:r>
            <w:proofErr w:type="gramStart"/>
            <w:r w:rsidRPr="006F06F0">
              <w:rPr>
                <w:rFonts w:ascii="Times New Roman" w:hAnsi="Times New Roman"/>
                <w:szCs w:val="22"/>
              </w:rPr>
              <w:t xml:space="preserve">  </w:t>
            </w:r>
            <w:proofErr w:type="gramEnd"/>
            <w:r w:rsidR="00A31322">
              <w:rPr>
                <w:rFonts w:ascii="Times New Roman" w:hAnsi="Times New Roman"/>
                <w:szCs w:val="22"/>
              </w:rPr>
              <w:t>016</w:t>
            </w:r>
            <w:r w:rsidRPr="006F06F0">
              <w:rPr>
                <w:rFonts w:ascii="Times New Roman" w:hAnsi="Times New Roman"/>
                <w:szCs w:val="22"/>
              </w:rPr>
              <w:t>/201</w:t>
            </w:r>
            <w:r>
              <w:rPr>
                <w:rFonts w:ascii="Times New Roman" w:hAnsi="Times New Roman"/>
                <w:szCs w:val="22"/>
              </w:rPr>
              <w:t>6</w:t>
            </w:r>
          </w:p>
          <w:p w:rsidR="00D47680" w:rsidRPr="00CD274E" w:rsidRDefault="00D47680" w:rsidP="00467517">
            <w:pPr>
              <w:ind w:right="72"/>
              <w:jc w:val="right"/>
              <w:rPr>
                <w:rFonts w:ascii="Times New Roman" w:hAnsi="Times New Roman" w:cs="Times New Roman"/>
                <w:sz w:val="4"/>
              </w:rPr>
            </w:pPr>
          </w:p>
        </w:tc>
      </w:tr>
    </w:tbl>
    <w:p w:rsidR="00D47680" w:rsidRPr="00CD274E" w:rsidRDefault="00D47680" w:rsidP="00D47680">
      <w:pPr>
        <w:pStyle w:val="Corpodetexto"/>
        <w:spacing w:line="360" w:lineRule="auto"/>
        <w:ind w:right="-1" w:firstLine="709"/>
        <w:jc w:val="both"/>
        <w:rPr>
          <w:b/>
          <w:sz w:val="2"/>
          <w:szCs w:val="22"/>
        </w:rPr>
      </w:pPr>
    </w:p>
    <w:p w:rsidR="00D47680" w:rsidRPr="001C1D79" w:rsidRDefault="00D47680" w:rsidP="00D47680">
      <w:pPr>
        <w:spacing w:after="0" w:line="360" w:lineRule="auto"/>
        <w:ind w:right="-852"/>
        <w:jc w:val="both"/>
        <w:rPr>
          <w:rFonts w:ascii="Times New Roman" w:hAnsi="Times New Roman" w:cs="Times New Roman"/>
          <w:b/>
          <w:sz w:val="6"/>
        </w:rPr>
      </w:pPr>
    </w:p>
    <w:p w:rsidR="00D47680" w:rsidRDefault="00D47680" w:rsidP="00D47680">
      <w:pPr>
        <w:spacing w:after="0" w:line="360" w:lineRule="auto"/>
        <w:ind w:right="-852"/>
        <w:jc w:val="center"/>
        <w:rPr>
          <w:rFonts w:ascii="Times New Roman" w:hAnsi="Times New Roman" w:cs="Times New Roman"/>
          <w:b/>
        </w:rPr>
      </w:pPr>
      <w:r w:rsidRPr="006F06F0">
        <w:rPr>
          <w:rFonts w:ascii="Times New Roman" w:hAnsi="Times New Roman" w:cs="Times New Roman"/>
          <w:b/>
        </w:rPr>
        <w:t>I – RELATÓRIO</w:t>
      </w:r>
    </w:p>
    <w:p w:rsidR="00D47680" w:rsidRPr="001C1D79" w:rsidRDefault="00D47680" w:rsidP="00D47680">
      <w:pPr>
        <w:spacing w:after="0" w:line="360" w:lineRule="auto"/>
        <w:ind w:right="-852"/>
        <w:jc w:val="center"/>
        <w:rPr>
          <w:rFonts w:ascii="Times New Roman" w:hAnsi="Times New Roman" w:cs="Times New Roman"/>
          <w:b/>
          <w:sz w:val="10"/>
        </w:rPr>
      </w:pPr>
    </w:p>
    <w:p w:rsidR="009A34BE" w:rsidRDefault="009A34BE" w:rsidP="009A34BE">
      <w:pPr>
        <w:pStyle w:val="Corpodetexto"/>
        <w:spacing w:line="360" w:lineRule="auto"/>
        <w:ind w:right="-1" w:firstLine="709"/>
        <w:jc w:val="both"/>
        <w:rPr>
          <w:b/>
          <w:sz w:val="22"/>
          <w:szCs w:val="22"/>
        </w:rPr>
      </w:pPr>
      <w:r>
        <w:rPr>
          <w:sz w:val="22"/>
          <w:szCs w:val="22"/>
        </w:rPr>
        <w:t xml:space="preserve">A consulente solicita </w:t>
      </w:r>
      <w:r>
        <w:rPr>
          <w:b/>
          <w:sz w:val="22"/>
          <w:szCs w:val="22"/>
        </w:rPr>
        <w:t xml:space="preserve">o entendimento desta Superintendência de Tributação acerca da </w:t>
      </w:r>
      <w:r w:rsidR="00524448" w:rsidRPr="00524448">
        <w:rPr>
          <w:b/>
          <w:sz w:val="22"/>
          <w:szCs w:val="22"/>
        </w:rPr>
        <w:t>alíquota aplicável para fins de cálculo da diferença de alíquotas de ICMS em operações interestaduais destinadas a não contribuinte</w:t>
      </w:r>
      <w:r w:rsidR="00524448">
        <w:rPr>
          <w:b/>
          <w:sz w:val="22"/>
          <w:szCs w:val="22"/>
        </w:rPr>
        <w:t>, em decorrência da Emenda Constitucional n° 87/2015</w:t>
      </w:r>
      <w:r>
        <w:rPr>
          <w:b/>
          <w:sz w:val="22"/>
          <w:szCs w:val="22"/>
        </w:rPr>
        <w:t>.</w:t>
      </w:r>
    </w:p>
    <w:p w:rsidR="00524448" w:rsidRDefault="00524448" w:rsidP="00524448">
      <w:pPr>
        <w:pStyle w:val="Corpodetexto"/>
        <w:spacing w:line="360" w:lineRule="auto"/>
        <w:ind w:right="-1" w:firstLine="709"/>
        <w:jc w:val="both"/>
        <w:rPr>
          <w:sz w:val="22"/>
          <w:szCs w:val="22"/>
        </w:rPr>
      </w:pPr>
      <w:r w:rsidRPr="008D0CD7">
        <w:rPr>
          <w:sz w:val="22"/>
          <w:szCs w:val="22"/>
        </w:rPr>
        <w:t xml:space="preserve">O processo encontra-se instruído </w:t>
      </w:r>
      <w:r w:rsidR="009155C7" w:rsidRPr="008D0CD7">
        <w:rPr>
          <w:sz w:val="22"/>
          <w:szCs w:val="22"/>
        </w:rPr>
        <w:t>com</w:t>
      </w:r>
      <w:r w:rsidR="009155C7">
        <w:rPr>
          <w:sz w:val="22"/>
          <w:szCs w:val="22"/>
        </w:rPr>
        <w:t xml:space="preserve"> cópias reprográficas</w:t>
      </w:r>
      <w:r w:rsidR="009155C7" w:rsidRPr="00524448">
        <w:rPr>
          <w:sz w:val="22"/>
          <w:szCs w:val="22"/>
        </w:rPr>
        <w:t xml:space="preserve"> que comprovam a habilitação do signatário da petição inicial</w:t>
      </w:r>
      <w:r w:rsidR="009155C7" w:rsidRPr="008D0CD7">
        <w:rPr>
          <w:sz w:val="22"/>
          <w:szCs w:val="22"/>
        </w:rPr>
        <w:t xml:space="preserve"> (fl</w:t>
      </w:r>
      <w:r w:rsidR="009155C7">
        <w:rPr>
          <w:sz w:val="22"/>
          <w:szCs w:val="22"/>
        </w:rPr>
        <w:t>s</w:t>
      </w:r>
      <w:r w:rsidR="009155C7" w:rsidRPr="008D0CD7">
        <w:rPr>
          <w:sz w:val="22"/>
          <w:szCs w:val="22"/>
        </w:rPr>
        <w:t>.</w:t>
      </w:r>
      <w:r w:rsidR="009155C7">
        <w:rPr>
          <w:sz w:val="22"/>
          <w:szCs w:val="22"/>
        </w:rPr>
        <w:t>13/27</w:t>
      </w:r>
      <w:r w:rsidR="009155C7" w:rsidRPr="008D0CD7">
        <w:rPr>
          <w:sz w:val="22"/>
          <w:szCs w:val="22"/>
        </w:rPr>
        <w:t>)</w:t>
      </w:r>
      <w:r>
        <w:rPr>
          <w:sz w:val="22"/>
          <w:szCs w:val="22"/>
        </w:rPr>
        <w:t xml:space="preserve">, </w:t>
      </w:r>
      <w:r w:rsidRPr="008D0CD7">
        <w:rPr>
          <w:sz w:val="22"/>
          <w:szCs w:val="22"/>
        </w:rPr>
        <w:t xml:space="preserve">bem como </w:t>
      </w:r>
      <w:r w:rsidR="009155C7">
        <w:rPr>
          <w:sz w:val="22"/>
          <w:szCs w:val="22"/>
        </w:rPr>
        <w:t>com</w:t>
      </w:r>
      <w:r w:rsidR="002D2BF4">
        <w:rPr>
          <w:sz w:val="22"/>
          <w:szCs w:val="22"/>
        </w:rPr>
        <w:t xml:space="preserve"> </w:t>
      </w:r>
      <w:r w:rsidRPr="008D0CD7">
        <w:rPr>
          <w:sz w:val="22"/>
          <w:szCs w:val="22"/>
        </w:rPr>
        <w:t>DARJ referente ao recolhimento da taxa de serviços Estaduais (fl</w:t>
      </w:r>
      <w:r>
        <w:rPr>
          <w:sz w:val="22"/>
          <w:szCs w:val="22"/>
        </w:rPr>
        <w:t>s</w:t>
      </w:r>
      <w:r w:rsidRPr="008D0CD7">
        <w:rPr>
          <w:sz w:val="22"/>
          <w:szCs w:val="22"/>
        </w:rPr>
        <w:t xml:space="preserve">. </w:t>
      </w:r>
      <w:r w:rsidR="002D2BF4">
        <w:rPr>
          <w:sz w:val="22"/>
          <w:szCs w:val="22"/>
        </w:rPr>
        <w:t>28</w:t>
      </w:r>
      <w:r>
        <w:rPr>
          <w:sz w:val="22"/>
          <w:szCs w:val="22"/>
        </w:rPr>
        <w:t>/</w:t>
      </w:r>
      <w:r w:rsidR="002D2BF4">
        <w:rPr>
          <w:sz w:val="22"/>
          <w:szCs w:val="22"/>
        </w:rPr>
        <w:t>32).</w:t>
      </w:r>
      <w:r>
        <w:rPr>
          <w:sz w:val="22"/>
          <w:szCs w:val="22"/>
        </w:rPr>
        <w:t xml:space="preserve"> </w:t>
      </w:r>
    </w:p>
    <w:p w:rsidR="00C70E60" w:rsidRPr="001C1D79" w:rsidRDefault="00C70E60" w:rsidP="00FA36A8">
      <w:pPr>
        <w:pStyle w:val="Corpodetexto"/>
        <w:spacing w:line="360" w:lineRule="auto"/>
        <w:ind w:right="-1"/>
        <w:jc w:val="both"/>
        <w:rPr>
          <w:b/>
          <w:sz w:val="8"/>
          <w:szCs w:val="22"/>
        </w:rPr>
      </w:pPr>
    </w:p>
    <w:p w:rsidR="00C70E60" w:rsidRPr="004136EA" w:rsidRDefault="00C70E60" w:rsidP="00C70E60">
      <w:pPr>
        <w:pStyle w:val="Corpodetexto"/>
        <w:spacing w:line="360" w:lineRule="auto"/>
        <w:ind w:right="-852" w:firstLine="709"/>
        <w:jc w:val="both"/>
        <w:rPr>
          <w:b/>
          <w:sz w:val="22"/>
          <w:szCs w:val="22"/>
        </w:rPr>
      </w:pPr>
      <w:proofErr w:type="gramStart"/>
      <w:r w:rsidRPr="004136EA">
        <w:rPr>
          <w:b/>
          <w:sz w:val="22"/>
          <w:szCs w:val="22"/>
        </w:rPr>
        <w:t>ISTO POSTO</w:t>
      </w:r>
      <w:proofErr w:type="gramEnd"/>
      <w:r w:rsidRPr="004136EA">
        <w:rPr>
          <w:b/>
          <w:sz w:val="22"/>
          <w:szCs w:val="22"/>
        </w:rPr>
        <w:t>, CONSULTA:</w:t>
      </w:r>
    </w:p>
    <w:p w:rsidR="00C70E60" w:rsidRDefault="00681E8C"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a alíquota a ser utilizada para fins de </w:t>
      </w:r>
      <w:r w:rsidR="004A5EFB">
        <w:rPr>
          <w:i/>
          <w:sz w:val="22"/>
          <w:szCs w:val="22"/>
        </w:rPr>
        <w:t xml:space="preserve">cálculo da diferença de alíquotas do ICMS, devida nas operações e prestações de bens e serviços por ela remetidos </w:t>
      </w:r>
      <w:proofErr w:type="gramStart"/>
      <w:r w:rsidR="004A5EFB">
        <w:rPr>
          <w:i/>
          <w:sz w:val="22"/>
          <w:szCs w:val="22"/>
        </w:rPr>
        <w:t>a consumidor</w:t>
      </w:r>
      <w:proofErr w:type="gramEnd"/>
      <w:r w:rsidR="004A5EFB">
        <w:rPr>
          <w:i/>
          <w:sz w:val="22"/>
          <w:szCs w:val="22"/>
        </w:rPr>
        <w:t xml:space="preserve"> final não contribuinte do imposto, localizado neste Estado, corresponde à alíquota específica, prevista na legislação fluminense,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apenas deverá ser adotada a alíquota geral, prevista para as operações internas realizada no Estado do Rio de Janeiro, quando não houver alíquota específica prevista para as operações internas com a mercadoria objeto da operação</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Está correto o entendimento da CONSULENTE no sentido de que, sempre que forem previstos benefícios fiscais que impliquem “carga tributária reduzida” para as operações internas com determinadas mercadorias, tais como reduções de base de cálculo e isenções, mesmo que estes benefícios tenham sido concedidos de forma unilateral, esta “carga tributária” deve ser considerada para efeitos do cálculo da diferença de alíquotas, tornando, assim, equivalentes as cargas tributárias previstas para todas as mercadorias, independentemente da sua origem</w:t>
      </w:r>
      <w:r w:rsidR="00C70E60">
        <w:rPr>
          <w:i/>
          <w:sz w:val="22"/>
          <w:szCs w:val="22"/>
        </w:rPr>
        <w:t>?</w:t>
      </w:r>
    </w:p>
    <w:p w:rsidR="00C70E60" w:rsidRDefault="004A5EFB" w:rsidP="00C70E60">
      <w:pPr>
        <w:pStyle w:val="Corpodetexto"/>
        <w:numPr>
          <w:ilvl w:val="0"/>
          <w:numId w:val="4"/>
        </w:numPr>
        <w:spacing w:line="360" w:lineRule="auto"/>
        <w:jc w:val="both"/>
        <w:rPr>
          <w:i/>
          <w:sz w:val="22"/>
          <w:szCs w:val="22"/>
        </w:rPr>
      </w:pPr>
      <w:r>
        <w:rPr>
          <w:i/>
          <w:sz w:val="22"/>
          <w:szCs w:val="22"/>
        </w:rPr>
        <w:t xml:space="preserve">Está correto o entendimento da CONSULENTE no sentido de que, sempre que forem </w:t>
      </w:r>
      <w:r>
        <w:rPr>
          <w:i/>
          <w:sz w:val="22"/>
          <w:szCs w:val="22"/>
        </w:rPr>
        <w:lastRenderedPageBreak/>
        <w:t>previstos benefícios fiscais que impliquem “carga tributária reduzida” para as operações internas, salvo disposição expressa em contrário, contida no Convênio ICMS ou na legislação interna que tenha instituído tal benefício</w:t>
      </w:r>
      <w:r w:rsidR="00B07410">
        <w:rPr>
          <w:i/>
          <w:sz w:val="22"/>
          <w:szCs w:val="22"/>
        </w:rPr>
        <w:t>, o cálculo da diferença de alíquotas deverá considerar a “carga tributária reduzida”, não sendo devido, neste caso, o recolhimento do adicional destinado ao FECP, previsto pela (sic) Decreto n° 38.938/2006, tal como previsto no artigo 4° do Decreto (RJ) n° 34.681/03</w:t>
      </w:r>
      <w:r w:rsidR="00C70E60">
        <w:rPr>
          <w:i/>
          <w:sz w:val="22"/>
          <w:szCs w:val="22"/>
        </w:rPr>
        <w:t>?</w:t>
      </w:r>
    </w:p>
    <w:p w:rsidR="00C70E60" w:rsidRPr="001C1D79" w:rsidRDefault="00C70E60" w:rsidP="00C70E60">
      <w:pPr>
        <w:pStyle w:val="Corpodetexto"/>
        <w:spacing w:line="360" w:lineRule="auto"/>
        <w:ind w:left="1069"/>
        <w:jc w:val="both"/>
        <w:rPr>
          <w:i/>
          <w:sz w:val="16"/>
          <w:szCs w:val="22"/>
        </w:rPr>
      </w:pPr>
    </w:p>
    <w:p w:rsidR="00C70E60" w:rsidRPr="006F06F0" w:rsidRDefault="00C70E60" w:rsidP="00C70E60">
      <w:pPr>
        <w:spacing w:after="0" w:line="360" w:lineRule="auto"/>
        <w:ind w:right="-852"/>
        <w:jc w:val="center"/>
        <w:rPr>
          <w:rFonts w:ascii="Times New Roman" w:hAnsi="Times New Roman" w:cs="Times New Roman"/>
          <w:b/>
        </w:rPr>
      </w:pPr>
      <w:r w:rsidRPr="006F06F0">
        <w:rPr>
          <w:rFonts w:ascii="Times New Roman" w:hAnsi="Times New Roman" w:cs="Times New Roman"/>
          <w:b/>
        </w:rPr>
        <w:t>II – ANÁLISE E FUNDAMENTAÇÃO</w:t>
      </w:r>
    </w:p>
    <w:p w:rsidR="00C70E60" w:rsidRPr="001C1D79" w:rsidRDefault="00C70E60" w:rsidP="00C70E60">
      <w:pPr>
        <w:spacing w:after="0" w:line="360" w:lineRule="auto"/>
        <w:ind w:right="-852" w:firstLine="709"/>
        <w:jc w:val="both"/>
        <w:rPr>
          <w:rFonts w:ascii="Times New Roman" w:hAnsi="Times New Roman" w:cs="Times New Roman"/>
          <w:sz w:val="14"/>
        </w:rPr>
      </w:pPr>
    </w:p>
    <w:p w:rsidR="00B97310" w:rsidRDefault="00B97310" w:rsidP="00B97310">
      <w:pPr>
        <w:spacing w:after="0" w:line="360" w:lineRule="auto"/>
        <w:ind w:right="-1" w:firstLine="709"/>
        <w:jc w:val="both"/>
        <w:rPr>
          <w:rFonts w:ascii="Times New Roman" w:hAnsi="Times New Roman" w:cs="Times New Roman"/>
        </w:rPr>
      </w:pPr>
      <w:r>
        <w:rPr>
          <w:rFonts w:ascii="Times New Roman" w:hAnsi="Times New Roman" w:cs="Times New Roman"/>
        </w:rPr>
        <w:t>Em resposta aos dois primeiros questionamentos apresentados pela consulente, nas operações interestaduais destinadas a não contribuinte localizado no Estado do Rio de Janeiro, devem ser utilizadas as alíquotas previstas no artigo 14 da Lei nº 2.657/96, adicionando-se o FECP, de que trata a Lei n° 4.056/02, ressalvada a hipótese de aplicabilidade de benefício fiscal previsto em Convênio ICMS, que estabeleça outra carga tributária interna efetiva. Na hipótese de aplicação do artigo 14 da Lei nº 2.657/96, a alíquota prevista em seu inciso I deve ser aplicada quando não houver outra alíquota específica nos demais incisos do mencionado artigo 14.</w:t>
      </w:r>
    </w:p>
    <w:p w:rsidR="00B97310" w:rsidRDefault="00B97310" w:rsidP="00B97310">
      <w:pPr>
        <w:spacing w:after="0" w:line="360" w:lineRule="auto"/>
        <w:ind w:right="-1" w:firstLine="709"/>
        <w:jc w:val="both"/>
        <w:rPr>
          <w:rFonts w:ascii="Times New Roman" w:hAnsi="Times New Roman" w:cs="Times New Roman"/>
        </w:rPr>
      </w:pPr>
      <w:r>
        <w:rPr>
          <w:rFonts w:ascii="Times New Roman" w:hAnsi="Times New Roman" w:cs="Times New Roman"/>
        </w:rPr>
        <w:t xml:space="preserve">Relativamente ao terceiro questionamento, a resposta é negativa, isto é, o entendimento apresentado pela consulente está equivocado. Conforme determina o </w:t>
      </w:r>
      <w:r>
        <w:rPr>
          <w:rFonts w:ascii="Times New Roman" w:hAnsi="Times New Roman" w:cs="Times New Roman"/>
          <w:i/>
        </w:rPr>
        <w:t>caput</w:t>
      </w:r>
      <w:r>
        <w:rPr>
          <w:rFonts w:ascii="Times New Roman" w:hAnsi="Times New Roman" w:cs="Times New Roman"/>
        </w:rPr>
        <w:t xml:space="preserve"> da cláusula primeira do Convênio ICMS 153/15, somente devem ser considerados os benefícios fiscais de redução de base de cálculo ou de isenção do ICMS, autorizados por meio de convênios ICMS com base na Lei Complementar nº 24, de </w:t>
      </w:r>
      <w:proofErr w:type="gramStart"/>
      <w:r>
        <w:rPr>
          <w:rFonts w:ascii="Times New Roman" w:hAnsi="Times New Roman" w:cs="Times New Roman"/>
        </w:rPr>
        <w:t>7</w:t>
      </w:r>
      <w:proofErr w:type="gramEnd"/>
      <w:r>
        <w:rPr>
          <w:rFonts w:ascii="Times New Roman" w:hAnsi="Times New Roman" w:cs="Times New Roman"/>
        </w:rPr>
        <w:t xml:space="preserve"> de janeiro de 1975, e implementados no Estado do Rio de Janeiro, para efeito do cálculo do valor do ICMS devido, correspondente à diferença entre a alíquota interna e a alíquota interestadual, nas operações destinadas a consumidor final não contribuinte do ICMS.</w:t>
      </w:r>
    </w:p>
    <w:p w:rsidR="00B97310" w:rsidRDefault="00B97310" w:rsidP="00B97310">
      <w:pPr>
        <w:spacing w:after="0" w:line="360" w:lineRule="auto"/>
        <w:ind w:right="-1" w:firstLine="709"/>
        <w:jc w:val="both"/>
        <w:rPr>
          <w:rFonts w:ascii="Times New Roman" w:hAnsi="Times New Roman" w:cs="Times New Roman"/>
        </w:rPr>
      </w:pPr>
      <w:r>
        <w:rPr>
          <w:rFonts w:ascii="Times New Roman" w:hAnsi="Times New Roman" w:cs="Times New Roman"/>
        </w:rPr>
        <w:t>O último questionamento encontra-se prejudicado, considerando a resposta à pergunta n° 3, isto é, para o cálculo do diferencial de alíquotas somente serão considerados os benefícios concedidos por meio de convênios ICMS editados com base na Lei Complementar nº 24/75.</w:t>
      </w:r>
    </w:p>
    <w:p w:rsidR="00B97310" w:rsidRDefault="00B97310" w:rsidP="00B97310">
      <w:pPr>
        <w:spacing w:after="0" w:line="360" w:lineRule="auto"/>
        <w:ind w:right="-1" w:firstLine="709"/>
        <w:jc w:val="both"/>
        <w:rPr>
          <w:rFonts w:ascii="Times New Roman" w:hAnsi="Times New Roman" w:cs="Times New Roman"/>
        </w:rPr>
      </w:pPr>
    </w:p>
    <w:p w:rsidR="00B97310" w:rsidRDefault="00B97310" w:rsidP="00B97310">
      <w:pPr>
        <w:spacing w:after="0" w:line="360" w:lineRule="auto"/>
        <w:ind w:right="-1" w:firstLine="709"/>
        <w:jc w:val="both"/>
        <w:rPr>
          <w:rFonts w:ascii="Times New Roman" w:hAnsi="Times New Roman" w:cs="Times New Roman"/>
        </w:rPr>
      </w:pPr>
    </w:p>
    <w:p w:rsidR="00B97310" w:rsidRDefault="00B97310" w:rsidP="00B97310">
      <w:pPr>
        <w:spacing w:after="0" w:line="360" w:lineRule="auto"/>
        <w:ind w:right="-852"/>
        <w:jc w:val="center"/>
        <w:rPr>
          <w:rFonts w:ascii="Times New Roman" w:hAnsi="Times New Roman" w:cs="Times New Roman"/>
          <w:b/>
        </w:rPr>
      </w:pPr>
      <w:r>
        <w:rPr>
          <w:rFonts w:ascii="Times New Roman" w:hAnsi="Times New Roman" w:cs="Times New Roman"/>
          <w:b/>
        </w:rPr>
        <w:t>III – RESPOSTA</w:t>
      </w:r>
    </w:p>
    <w:p w:rsidR="00B97310" w:rsidRDefault="00B97310" w:rsidP="00B97310">
      <w:pPr>
        <w:spacing w:after="0" w:line="360" w:lineRule="auto"/>
        <w:ind w:firstLine="709"/>
        <w:jc w:val="both"/>
        <w:rPr>
          <w:rFonts w:ascii="Times New Roman" w:hAnsi="Times New Roman" w:cs="Times New Roman"/>
          <w:sz w:val="20"/>
        </w:rPr>
      </w:pPr>
    </w:p>
    <w:p w:rsidR="00B97310" w:rsidRDefault="00B97310" w:rsidP="00B97310">
      <w:pPr>
        <w:spacing w:after="0" w:line="360" w:lineRule="auto"/>
        <w:ind w:right="-1" w:firstLine="708"/>
        <w:jc w:val="both"/>
        <w:rPr>
          <w:rFonts w:ascii="Times New Roman" w:hAnsi="Times New Roman" w:cs="Times New Roman"/>
        </w:rPr>
      </w:pPr>
      <w:r>
        <w:rPr>
          <w:rFonts w:ascii="Times New Roman" w:hAnsi="Times New Roman" w:cs="Times New Roman"/>
        </w:rPr>
        <w:t xml:space="preserve">Considerando o exposto, (1) e (2) nas operações interestaduais destinadas a não contribuinte localizado no Estado do Rio de Janeiro, devem ser utilizadas as alíquotas previstas no artigo 14 da Lei </w:t>
      </w:r>
      <w:r>
        <w:rPr>
          <w:rFonts w:ascii="Times New Roman" w:hAnsi="Times New Roman" w:cs="Times New Roman"/>
        </w:rPr>
        <w:lastRenderedPageBreak/>
        <w:t xml:space="preserve">nº 2.657/96, adicionando-se o FECP, de que trata a Lei n° 4.056/02, ressalvada a hipótese de aplicabilidade de benefício fiscal previsto em Convênio ICMS, que estabeleça outra carga tributária interna efetiva. Na hipótese de aplicação do artigo 14 da Lei nº 2.657/96, a alíquota prevista em seu inciso I deve ser aplicada quando não houver outra alíquota específica nos demais incisos do mencionado artigo 14; (3) conforme determina o </w:t>
      </w:r>
      <w:r>
        <w:rPr>
          <w:rFonts w:ascii="Times New Roman" w:hAnsi="Times New Roman" w:cs="Times New Roman"/>
          <w:i/>
        </w:rPr>
        <w:t>caput</w:t>
      </w:r>
      <w:r>
        <w:rPr>
          <w:rFonts w:ascii="Times New Roman" w:hAnsi="Times New Roman" w:cs="Times New Roman"/>
        </w:rPr>
        <w:t xml:space="preserve"> da cláusula primeira do Convênio ICMS 153/15, somente devem ser considerados os benefícios fiscais de redução de base de cálculo ou de isenção do ICMS, autorizados por meio de convênios ICMS com base na Lei Complementar nº 24, de </w:t>
      </w:r>
      <w:proofErr w:type="gramStart"/>
      <w:r>
        <w:rPr>
          <w:rFonts w:ascii="Times New Roman" w:hAnsi="Times New Roman" w:cs="Times New Roman"/>
        </w:rPr>
        <w:t>7</w:t>
      </w:r>
      <w:proofErr w:type="gramEnd"/>
      <w:r>
        <w:rPr>
          <w:rFonts w:ascii="Times New Roman" w:hAnsi="Times New Roman" w:cs="Times New Roman"/>
        </w:rPr>
        <w:t xml:space="preserve"> de janeiro de 1975, e implementados no Estado do Rio de Janeiro, para efeito do cálculo do valor do ICMS devido, correspondente à diferença entre a alíquota interna e a alíquota interestadual, nas operações destinadas a consumidor final não contribuinte do ICMS; e (4) questionamento prejudicado, tendo em vista a resposta à pergunta n° 3, isto é, para o cálculo do diferencial de alíquotas somente serão considerados os benefícios concedidos por meio de convênios ICMS editados com base na Lei Complementar nº 24/75.</w:t>
      </w:r>
    </w:p>
    <w:p w:rsidR="00B97310" w:rsidRDefault="00B97310" w:rsidP="00B97310">
      <w:pPr>
        <w:spacing w:after="0" w:line="360" w:lineRule="auto"/>
        <w:ind w:right="-1" w:firstLine="708"/>
        <w:jc w:val="both"/>
        <w:rPr>
          <w:rFonts w:ascii="Times New Roman" w:hAnsi="Times New Roman" w:cs="Times New Roman"/>
        </w:rPr>
      </w:pPr>
      <w:r>
        <w:rPr>
          <w:rFonts w:ascii="Times New Roman" w:hAnsi="Times New Roman" w:cs="Times New Roman"/>
        </w:rPr>
        <w:t xml:space="preserve">Registre-se que, pelo fato de a consulente se tratar de estabelecimento localizado em outra Unidade </w:t>
      </w:r>
      <w:proofErr w:type="gramStart"/>
      <w:r>
        <w:rPr>
          <w:rFonts w:ascii="Times New Roman" w:hAnsi="Times New Roman" w:cs="Times New Roman"/>
        </w:rPr>
        <w:t>Federada não inscrito</w:t>
      </w:r>
      <w:proofErr w:type="gramEnd"/>
      <w:r>
        <w:rPr>
          <w:rFonts w:ascii="Times New Roman" w:hAnsi="Times New Roman" w:cs="Times New Roman"/>
        </w:rPr>
        <w:t xml:space="preserve"> neste Estado, esta consulta somente produzirá os efeitos que lhe são próprios caso não tenha havido autuação, até a data de protocolização desta Consulta, ainda pendente de decisão final cujo fundamento esteja direta ou indiretamente relacionado às dúvidas suscitadas e que não tenha sido notificada de procedimento de fiscalização até a referida data.</w:t>
      </w:r>
    </w:p>
    <w:p w:rsidR="00B97310" w:rsidRDefault="00B97310" w:rsidP="00B97310">
      <w:pPr>
        <w:spacing w:after="0" w:line="360" w:lineRule="auto"/>
        <w:ind w:firstLine="709"/>
        <w:jc w:val="both"/>
        <w:rPr>
          <w:rFonts w:ascii="Times New Roman" w:hAnsi="Times New Roman" w:cs="Times New Roman"/>
        </w:rPr>
      </w:pPr>
      <w:r>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Pr>
          <w:rFonts w:ascii="Times New Roman" w:hAnsi="Times New Roman" w:cs="Times New Roman"/>
        </w:rPr>
        <w:t xml:space="preserve"> ou seja</w:t>
      </w:r>
      <w:proofErr w:type="gramEnd"/>
      <w:r>
        <w:rPr>
          <w:rFonts w:ascii="Times New Roman" w:hAnsi="Times New Roman" w:cs="Times New Roman"/>
        </w:rPr>
        <w:t xml:space="preserve"> editada norma superveniente dispondo de forma contrária. </w:t>
      </w:r>
    </w:p>
    <w:p w:rsidR="00487A3A" w:rsidRDefault="00462AC3" w:rsidP="00C14A84">
      <w:pPr>
        <w:spacing w:after="0" w:line="360" w:lineRule="auto"/>
        <w:ind w:right="-1" w:firstLine="709"/>
        <w:jc w:val="both"/>
        <w:rPr>
          <w:rFonts w:ascii="Times New Roman" w:hAnsi="Times New Roman" w:cs="Times New Roman"/>
        </w:rPr>
      </w:pPr>
      <w:r>
        <w:rPr>
          <w:rFonts w:ascii="Times New Roman" w:hAnsi="Times New Roman" w:cs="Times New Roman"/>
        </w:rPr>
        <w:t>CCJT, em</w:t>
      </w:r>
      <w:r w:rsidR="00726138">
        <w:rPr>
          <w:rFonts w:ascii="Times New Roman" w:hAnsi="Times New Roman" w:cs="Times New Roman"/>
        </w:rPr>
        <w:t xml:space="preserve"> </w:t>
      </w:r>
      <w:r w:rsidR="002D2BF4">
        <w:rPr>
          <w:rFonts w:ascii="Times New Roman" w:hAnsi="Times New Roman" w:cs="Times New Roman"/>
        </w:rPr>
        <w:t>11</w:t>
      </w:r>
      <w:r w:rsidR="00544697">
        <w:rPr>
          <w:rFonts w:ascii="Times New Roman" w:hAnsi="Times New Roman" w:cs="Times New Roman"/>
        </w:rPr>
        <w:t xml:space="preserve"> de </w:t>
      </w:r>
      <w:r w:rsidR="002D2BF4">
        <w:rPr>
          <w:rFonts w:ascii="Times New Roman" w:hAnsi="Times New Roman" w:cs="Times New Roman"/>
        </w:rPr>
        <w:t>fevere</w:t>
      </w:r>
      <w:r w:rsidR="00A73758">
        <w:rPr>
          <w:rFonts w:ascii="Times New Roman" w:hAnsi="Times New Roman" w:cs="Times New Roman"/>
        </w:rPr>
        <w:t>iro</w:t>
      </w:r>
      <w:r w:rsidR="00544697">
        <w:rPr>
          <w:rFonts w:ascii="Times New Roman" w:hAnsi="Times New Roman" w:cs="Times New Roman"/>
        </w:rPr>
        <w:t xml:space="preserve"> de 201</w:t>
      </w:r>
      <w:r w:rsidR="00A73758">
        <w:rPr>
          <w:rFonts w:ascii="Times New Roman" w:hAnsi="Times New Roman" w:cs="Times New Roman"/>
        </w:rPr>
        <w:t>6</w:t>
      </w:r>
      <w:r w:rsidR="003C2B81">
        <w:rPr>
          <w:rFonts w:ascii="Times New Roman" w:hAnsi="Times New Roman" w:cs="Times New Roman"/>
        </w:rPr>
        <w:t>.</w:t>
      </w:r>
    </w:p>
    <w:p w:rsidR="003C2B81" w:rsidRDefault="003C2B81" w:rsidP="00C14A84">
      <w:pPr>
        <w:spacing w:after="0" w:line="360" w:lineRule="auto"/>
        <w:ind w:right="-1" w:firstLine="709"/>
        <w:jc w:val="both"/>
        <w:rPr>
          <w:rFonts w:ascii="Times New Roman" w:hAnsi="Times New Roman" w:cs="Times New Roman"/>
        </w:rPr>
      </w:pPr>
    </w:p>
    <w:p w:rsidR="003C2B81" w:rsidRDefault="003C2B81" w:rsidP="00C14A84">
      <w:pPr>
        <w:spacing w:after="0" w:line="360" w:lineRule="auto"/>
        <w:ind w:right="-1" w:firstLine="709"/>
        <w:jc w:val="both"/>
        <w:rPr>
          <w:rFonts w:ascii="Times New Roman" w:hAnsi="Times New Roman" w:cs="Times New Roman"/>
          <w:sz w:val="12"/>
        </w:rPr>
      </w:pPr>
    </w:p>
    <w:p w:rsidR="002D2BF4" w:rsidRPr="009022FB" w:rsidRDefault="002D2BF4" w:rsidP="00C14A84">
      <w:pPr>
        <w:spacing w:after="0" w:line="360" w:lineRule="auto"/>
        <w:ind w:right="-1" w:firstLine="709"/>
        <w:jc w:val="both"/>
        <w:rPr>
          <w:rFonts w:ascii="Times New Roman" w:hAnsi="Times New Roman" w:cs="Times New Roman"/>
          <w:sz w:val="2"/>
        </w:rPr>
      </w:pPr>
    </w:p>
    <w:sectPr w:rsidR="002D2BF4" w:rsidRPr="009022FB" w:rsidSect="00A31322">
      <w:headerReference w:type="default" r:id="rId9"/>
      <w:pgSz w:w="11906" w:h="16838"/>
      <w:pgMar w:top="1417" w:right="1133" w:bottom="1417"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10" w:rsidRDefault="00D70F10" w:rsidP="00546EC0">
      <w:pPr>
        <w:spacing w:after="0" w:line="240" w:lineRule="auto"/>
      </w:pPr>
      <w:r>
        <w:separator/>
      </w:r>
    </w:p>
  </w:endnote>
  <w:endnote w:type="continuationSeparator" w:id="0">
    <w:p w:rsidR="00D70F10" w:rsidRDefault="00D70F10"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10" w:rsidRDefault="00D70F10" w:rsidP="00546EC0">
      <w:pPr>
        <w:spacing w:after="0" w:line="240" w:lineRule="auto"/>
      </w:pPr>
      <w:r>
        <w:separator/>
      </w:r>
    </w:p>
  </w:footnote>
  <w:footnote w:type="continuationSeparator" w:id="0">
    <w:p w:rsidR="00D70F10" w:rsidRDefault="00D70F10"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DB1E90" w:rsidRPr="002E7B20" w:rsidTr="008876B4">
      <w:trPr>
        <w:cantSplit/>
        <w:trHeight w:val="1180"/>
      </w:trPr>
      <w:tc>
        <w:tcPr>
          <w:tcW w:w="6310" w:type="dxa"/>
        </w:tcPr>
        <w:p w:rsidR="00DB1E90" w:rsidRPr="002E7B20" w:rsidRDefault="00DB1E90" w:rsidP="008876B4">
          <w:pPr>
            <w:pStyle w:val="Cabealho"/>
            <w:spacing w:line="276" w:lineRule="auto"/>
            <w:ind w:left="1276"/>
            <w:jc w:val="center"/>
            <w:rPr>
              <w:rFonts w:ascii="Times New Roman" w:hAnsi="Times New Roman"/>
              <w:b/>
              <w:sz w:val="20"/>
            </w:rPr>
          </w:pPr>
          <w:r>
            <w:rPr>
              <w:rFonts w:ascii="Times New Roman" w:hAnsi="Times New Roman"/>
              <w:noProof/>
              <w:sz w:val="20"/>
            </w:rPr>
            <w:drawing>
              <wp:inline distT="0" distB="0" distL="0" distR="0" wp14:anchorId="5EA54A0F" wp14:editId="061710DF">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DB1E90" w:rsidRPr="002E7B20" w:rsidRDefault="00DB1E90"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DB1E90" w:rsidRPr="002E7B20" w:rsidRDefault="00DB1E90"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DB1E90"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DB1E90" w:rsidRPr="002E7B20" w:rsidRDefault="00DB1E90"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DB1E90" w:rsidRPr="002E7B20" w:rsidTr="00462AC3">
            <w:trPr>
              <w:cantSplit/>
              <w:trHeight w:val="273"/>
            </w:trPr>
            <w:tc>
              <w:tcPr>
                <w:tcW w:w="2812" w:type="dxa"/>
                <w:tcBorders>
                  <w:top w:val="nil"/>
                  <w:left w:val="single" w:sz="18" w:space="0" w:color="auto"/>
                  <w:bottom w:val="nil"/>
                  <w:right w:val="single" w:sz="18" w:space="0" w:color="auto"/>
                </w:tcBorders>
                <w:hideMark/>
              </w:tcPr>
              <w:p w:rsidR="00DB1E90" w:rsidRPr="002E7B20" w:rsidRDefault="00DD5B59" w:rsidP="00C33672">
                <w:pPr>
                  <w:spacing w:after="0"/>
                  <w:rPr>
                    <w:rFonts w:ascii="Times New Roman" w:hAnsi="Times New Roman"/>
                    <w:sz w:val="20"/>
                  </w:rPr>
                </w:pPr>
                <w:r>
                  <w:rPr>
                    <w:rFonts w:ascii="Times New Roman" w:hAnsi="Times New Roman"/>
                    <w:sz w:val="20"/>
                  </w:rPr>
                  <w:t>Proc. E-04/079/16/2016</w:t>
                </w:r>
              </w:p>
            </w:tc>
          </w:tr>
          <w:tr w:rsidR="00DB1E90" w:rsidRPr="002E7B20" w:rsidTr="00462AC3">
            <w:trPr>
              <w:cantSplit/>
              <w:trHeight w:val="272"/>
            </w:trPr>
            <w:tc>
              <w:tcPr>
                <w:tcW w:w="2812" w:type="dxa"/>
                <w:tcBorders>
                  <w:top w:val="nil"/>
                  <w:left w:val="single" w:sz="18" w:space="0" w:color="auto"/>
                  <w:bottom w:val="nil"/>
                  <w:right w:val="single" w:sz="18" w:space="0" w:color="auto"/>
                </w:tcBorders>
                <w:hideMark/>
              </w:tcPr>
              <w:p w:rsidR="00DB1E90" w:rsidRPr="002E7B20" w:rsidRDefault="00DB1E90" w:rsidP="00DD5B59">
                <w:pPr>
                  <w:spacing w:after="0"/>
                  <w:rPr>
                    <w:rFonts w:ascii="Times New Roman" w:hAnsi="Times New Roman"/>
                    <w:sz w:val="20"/>
                  </w:rPr>
                </w:pPr>
                <w:r w:rsidRPr="002E7B20">
                  <w:rPr>
                    <w:rFonts w:ascii="Times New Roman" w:hAnsi="Times New Roman"/>
                    <w:sz w:val="20"/>
                  </w:rPr>
                  <w:t xml:space="preserve">Data: </w:t>
                </w:r>
                <w:r w:rsidR="00DD5B59">
                  <w:rPr>
                    <w:rFonts w:ascii="Times New Roman" w:hAnsi="Times New Roman"/>
                    <w:sz w:val="20"/>
                  </w:rPr>
                  <w:t>05</w:t>
                </w:r>
                <w:r w:rsidR="00723073">
                  <w:rPr>
                    <w:rFonts w:ascii="Times New Roman" w:hAnsi="Times New Roman"/>
                    <w:sz w:val="20"/>
                  </w:rPr>
                  <w:t>/</w:t>
                </w:r>
                <w:r w:rsidR="00DD5B59">
                  <w:rPr>
                    <w:rFonts w:ascii="Times New Roman" w:hAnsi="Times New Roman"/>
                    <w:sz w:val="20"/>
                  </w:rPr>
                  <w:t>0</w:t>
                </w:r>
                <w:r w:rsidR="009A34BE">
                  <w:rPr>
                    <w:rFonts w:ascii="Times New Roman" w:hAnsi="Times New Roman"/>
                    <w:sz w:val="20"/>
                  </w:rPr>
                  <w:t>1</w:t>
                </w:r>
                <w:r>
                  <w:rPr>
                    <w:rFonts w:ascii="Times New Roman" w:hAnsi="Times New Roman"/>
                    <w:sz w:val="20"/>
                  </w:rPr>
                  <w:t>/201</w:t>
                </w:r>
                <w:r w:rsidR="00DD5B59">
                  <w:rPr>
                    <w:rFonts w:ascii="Times New Roman" w:hAnsi="Times New Roman"/>
                    <w:sz w:val="20"/>
                  </w:rPr>
                  <w:t>6</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72317C" w:rsidRPr="00462AC3">
                  <w:rPr>
                    <w:rFonts w:ascii="Times New Roman" w:hAnsi="Times New Roman"/>
                    <w:sz w:val="20"/>
                  </w:rPr>
                  <w:fldChar w:fldCharType="begin"/>
                </w:r>
                <w:r w:rsidRPr="00462AC3">
                  <w:rPr>
                    <w:rFonts w:ascii="Times New Roman" w:hAnsi="Times New Roman"/>
                    <w:sz w:val="20"/>
                  </w:rPr>
                  <w:instrText>PAGE   \* MERGEFORMAT</w:instrText>
                </w:r>
                <w:r w:rsidR="0072317C" w:rsidRPr="00462AC3">
                  <w:rPr>
                    <w:rFonts w:ascii="Times New Roman" w:hAnsi="Times New Roman"/>
                    <w:sz w:val="20"/>
                  </w:rPr>
                  <w:fldChar w:fldCharType="separate"/>
                </w:r>
                <w:r w:rsidR="00A31322">
                  <w:rPr>
                    <w:rFonts w:ascii="Times New Roman" w:hAnsi="Times New Roman"/>
                    <w:noProof/>
                    <w:sz w:val="20"/>
                  </w:rPr>
                  <w:t>35</w:t>
                </w:r>
                <w:r w:rsidR="0072317C" w:rsidRPr="00462AC3">
                  <w:rPr>
                    <w:rFonts w:ascii="Times New Roman" w:hAnsi="Times New Roman"/>
                    <w:sz w:val="20"/>
                  </w:rPr>
                  <w:fldChar w:fldCharType="end"/>
                </w:r>
              </w:p>
            </w:tc>
          </w:tr>
          <w:tr w:rsidR="00DB1E90"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DB1E90" w:rsidRPr="00462AC3" w:rsidRDefault="00DB1E90" w:rsidP="0035322A">
                <w:pPr>
                  <w:pStyle w:val="Cabealho"/>
                  <w:spacing w:line="276" w:lineRule="auto"/>
                  <w:ind w:right="72"/>
                  <w:jc w:val="right"/>
                  <w:rPr>
                    <w:rFonts w:ascii="Times New Roman" w:hAnsi="Times New Roman"/>
                    <w:sz w:val="16"/>
                    <w:szCs w:val="16"/>
                  </w:rPr>
                </w:pPr>
              </w:p>
            </w:tc>
          </w:tr>
        </w:tbl>
        <w:p w:rsidR="00DB1E90" w:rsidRPr="002E7B20" w:rsidRDefault="00DB1E90" w:rsidP="008876B4">
          <w:pPr>
            <w:pStyle w:val="Cabealho"/>
            <w:spacing w:line="276" w:lineRule="auto"/>
            <w:ind w:right="-70"/>
            <w:jc w:val="center"/>
            <w:rPr>
              <w:rFonts w:ascii="Times New Roman" w:hAnsi="Times New Roman"/>
              <w:b/>
              <w:sz w:val="20"/>
            </w:rPr>
          </w:pPr>
        </w:p>
      </w:tc>
    </w:tr>
  </w:tbl>
  <w:p w:rsidR="00DB1E90" w:rsidRPr="00462AC3" w:rsidRDefault="00DB1E90" w:rsidP="00462A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FE"/>
    <w:multiLevelType w:val="hybridMultilevel"/>
    <w:tmpl w:val="BE0C6888"/>
    <w:lvl w:ilvl="0" w:tplc="0416000F">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C6254"/>
    <w:multiLevelType w:val="hybridMultilevel"/>
    <w:tmpl w:val="53787E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B5F15"/>
    <w:multiLevelType w:val="hybridMultilevel"/>
    <w:tmpl w:val="427C1928"/>
    <w:lvl w:ilvl="0" w:tplc="32C04E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877A6"/>
    <w:multiLevelType w:val="hybridMultilevel"/>
    <w:tmpl w:val="2E1A0812"/>
    <w:lvl w:ilvl="0" w:tplc="DAFEF2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D559F"/>
    <w:multiLevelType w:val="hybridMultilevel"/>
    <w:tmpl w:val="162E2392"/>
    <w:lvl w:ilvl="0" w:tplc="1CE6FA18">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4944AE"/>
    <w:multiLevelType w:val="hybridMultilevel"/>
    <w:tmpl w:val="0B3A31F8"/>
    <w:lvl w:ilvl="0" w:tplc="8054B80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5BF4B19"/>
    <w:multiLevelType w:val="hybridMultilevel"/>
    <w:tmpl w:val="17F0CC5E"/>
    <w:lvl w:ilvl="0" w:tplc="A3AA1D3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67641F3"/>
    <w:multiLevelType w:val="hybridMultilevel"/>
    <w:tmpl w:val="7E3C5260"/>
    <w:lvl w:ilvl="0" w:tplc="A20E607A">
      <w:start w:val="1"/>
      <w:numFmt w:val="lowerRoman"/>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ACA48A8"/>
    <w:multiLevelType w:val="hybridMultilevel"/>
    <w:tmpl w:val="40042BE2"/>
    <w:lvl w:ilvl="0" w:tplc="48C4D502">
      <w:start w:val="1"/>
      <w:numFmt w:val="lowerLetter"/>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BB3AAE"/>
    <w:multiLevelType w:val="hybridMultilevel"/>
    <w:tmpl w:val="1E12036E"/>
    <w:lvl w:ilvl="0" w:tplc="DC80B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BD7ACC"/>
    <w:multiLevelType w:val="hybridMultilevel"/>
    <w:tmpl w:val="715663D4"/>
    <w:lvl w:ilvl="0" w:tplc="E27C71A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C5E2457"/>
    <w:multiLevelType w:val="hybridMultilevel"/>
    <w:tmpl w:val="E01AE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D71B31"/>
    <w:multiLevelType w:val="hybridMultilevel"/>
    <w:tmpl w:val="31BEA9BE"/>
    <w:lvl w:ilvl="0" w:tplc="A8DA60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994656C"/>
    <w:multiLevelType w:val="hybridMultilevel"/>
    <w:tmpl w:val="84BC9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271F7B"/>
    <w:multiLevelType w:val="hybridMultilevel"/>
    <w:tmpl w:val="CA42E5CC"/>
    <w:lvl w:ilvl="0" w:tplc="10E0DA8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0E94DAF"/>
    <w:multiLevelType w:val="hybridMultilevel"/>
    <w:tmpl w:val="CD18A54A"/>
    <w:lvl w:ilvl="0" w:tplc="BE4014D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24F6887"/>
    <w:multiLevelType w:val="hybridMultilevel"/>
    <w:tmpl w:val="5F0E3A46"/>
    <w:lvl w:ilvl="0" w:tplc="B69290E6">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6F3E35"/>
    <w:multiLevelType w:val="hybridMultilevel"/>
    <w:tmpl w:val="1DC42BBA"/>
    <w:lvl w:ilvl="0" w:tplc="E4680E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D0F5906"/>
    <w:multiLevelType w:val="hybridMultilevel"/>
    <w:tmpl w:val="A4606A5E"/>
    <w:lvl w:ilvl="0" w:tplc="5DB68F58">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16628B"/>
    <w:multiLevelType w:val="hybridMultilevel"/>
    <w:tmpl w:val="F9BAFECA"/>
    <w:lvl w:ilvl="0" w:tplc="2B84AC7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9B74CCC"/>
    <w:multiLevelType w:val="hybridMultilevel"/>
    <w:tmpl w:val="85885426"/>
    <w:lvl w:ilvl="0" w:tplc="4B0C9BEE">
      <w:start w:val="1"/>
      <w:numFmt w:val="lowerLetter"/>
      <w:lvlText w:val="%14)"/>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C5B11FE"/>
    <w:multiLevelType w:val="hybridMultilevel"/>
    <w:tmpl w:val="97506CDA"/>
    <w:lvl w:ilvl="0" w:tplc="D26ADD68">
      <w:start w:val="1"/>
      <w:numFmt w:val="lowerLetter"/>
      <w:lvlText w:val="%12)"/>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7CFE7B83"/>
    <w:multiLevelType w:val="hybridMultilevel"/>
    <w:tmpl w:val="C242E9C8"/>
    <w:lvl w:ilvl="0" w:tplc="E0A0D5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8"/>
  </w:num>
  <w:num w:numId="5">
    <w:abstractNumId w:val="1"/>
  </w:num>
  <w:num w:numId="6">
    <w:abstractNumId w:val="0"/>
  </w:num>
  <w:num w:numId="7">
    <w:abstractNumId w:val="15"/>
  </w:num>
  <w:num w:numId="8">
    <w:abstractNumId w:val="13"/>
  </w:num>
  <w:num w:numId="9">
    <w:abstractNumId w:val="20"/>
  </w:num>
  <w:num w:numId="10">
    <w:abstractNumId w:val="5"/>
  </w:num>
  <w:num w:numId="11">
    <w:abstractNumId w:val="6"/>
  </w:num>
  <w:num w:numId="12">
    <w:abstractNumId w:val="19"/>
  </w:num>
  <w:num w:numId="13">
    <w:abstractNumId w:val="14"/>
  </w:num>
  <w:num w:numId="14">
    <w:abstractNumId w:val="23"/>
  </w:num>
  <w:num w:numId="15">
    <w:abstractNumId w:val="3"/>
  </w:num>
  <w:num w:numId="16">
    <w:abstractNumId w:val="12"/>
  </w:num>
  <w:num w:numId="17">
    <w:abstractNumId w:val="2"/>
  </w:num>
  <w:num w:numId="18">
    <w:abstractNumId w:val="4"/>
  </w:num>
  <w:num w:numId="19">
    <w:abstractNumId w:val="10"/>
  </w:num>
  <w:num w:numId="20">
    <w:abstractNumId w:val="22"/>
  </w:num>
  <w:num w:numId="21">
    <w:abstractNumId w:val="9"/>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46EC0"/>
    <w:rsid w:val="000016C8"/>
    <w:rsid w:val="000055B0"/>
    <w:rsid w:val="0001096A"/>
    <w:rsid w:val="0002389A"/>
    <w:rsid w:val="000267DA"/>
    <w:rsid w:val="0003044A"/>
    <w:rsid w:val="00053AD7"/>
    <w:rsid w:val="00054EB8"/>
    <w:rsid w:val="0005634A"/>
    <w:rsid w:val="0006100E"/>
    <w:rsid w:val="00063686"/>
    <w:rsid w:val="00064A50"/>
    <w:rsid w:val="00067269"/>
    <w:rsid w:val="00070B1C"/>
    <w:rsid w:val="0008336D"/>
    <w:rsid w:val="00084116"/>
    <w:rsid w:val="000874A1"/>
    <w:rsid w:val="000C115B"/>
    <w:rsid w:val="000C2BAA"/>
    <w:rsid w:val="000C3A53"/>
    <w:rsid w:val="000C474C"/>
    <w:rsid w:val="000C5495"/>
    <w:rsid w:val="000C7B63"/>
    <w:rsid w:val="000D6809"/>
    <w:rsid w:val="000D6F55"/>
    <w:rsid w:val="000F30B1"/>
    <w:rsid w:val="000F4FB2"/>
    <w:rsid w:val="000F63EE"/>
    <w:rsid w:val="00111ED2"/>
    <w:rsid w:val="0014427E"/>
    <w:rsid w:val="0014478F"/>
    <w:rsid w:val="0014555C"/>
    <w:rsid w:val="00147152"/>
    <w:rsid w:val="00156B62"/>
    <w:rsid w:val="00157300"/>
    <w:rsid w:val="00163E34"/>
    <w:rsid w:val="00166FDB"/>
    <w:rsid w:val="001760E5"/>
    <w:rsid w:val="001A0157"/>
    <w:rsid w:val="001C1D79"/>
    <w:rsid w:val="001C7B3E"/>
    <w:rsid w:val="001E4F56"/>
    <w:rsid w:val="001F309B"/>
    <w:rsid w:val="001F3956"/>
    <w:rsid w:val="001F3F43"/>
    <w:rsid w:val="001F7132"/>
    <w:rsid w:val="00210225"/>
    <w:rsid w:val="002124DC"/>
    <w:rsid w:val="00216AA2"/>
    <w:rsid w:val="00217892"/>
    <w:rsid w:val="00222C49"/>
    <w:rsid w:val="0023652F"/>
    <w:rsid w:val="002436D8"/>
    <w:rsid w:val="002459F7"/>
    <w:rsid w:val="00251988"/>
    <w:rsid w:val="00253080"/>
    <w:rsid w:val="00264B3C"/>
    <w:rsid w:val="00265632"/>
    <w:rsid w:val="00277CB4"/>
    <w:rsid w:val="002827AA"/>
    <w:rsid w:val="0028490E"/>
    <w:rsid w:val="00286428"/>
    <w:rsid w:val="00296DAB"/>
    <w:rsid w:val="002B25A7"/>
    <w:rsid w:val="002B2A2D"/>
    <w:rsid w:val="002B71CC"/>
    <w:rsid w:val="002B74A0"/>
    <w:rsid w:val="002C092A"/>
    <w:rsid w:val="002C2F26"/>
    <w:rsid w:val="002D2BF4"/>
    <w:rsid w:val="002E3AD2"/>
    <w:rsid w:val="002E500A"/>
    <w:rsid w:val="002F5AAC"/>
    <w:rsid w:val="002F621C"/>
    <w:rsid w:val="002F6424"/>
    <w:rsid w:val="002F6EDB"/>
    <w:rsid w:val="00300997"/>
    <w:rsid w:val="0030586F"/>
    <w:rsid w:val="00306109"/>
    <w:rsid w:val="00307D59"/>
    <w:rsid w:val="0031519F"/>
    <w:rsid w:val="003348FF"/>
    <w:rsid w:val="003453A9"/>
    <w:rsid w:val="00350AA3"/>
    <w:rsid w:val="00350DC5"/>
    <w:rsid w:val="0035322A"/>
    <w:rsid w:val="00355B36"/>
    <w:rsid w:val="00360C1E"/>
    <w:rsid w:val="0036656D"/>
    <w:rsid w:val="00367604"/>
    <w:rsid w:val="00370985"/>
    <w:rsid w:val="003716F0"/>
    <w:rsid w:val="00376A58"/>
    <w:rsid w:val="003829C7"/>
    <w:rsid w:val="0038321B"/>
    <w:rsid w:val="00385A1F"/>
    <w:rsid w:val="00397EFE"/>
    <w:rsid w:val="003C2B81"/>
    <w:rsid w:val="003C3FF2"/>
    <w:rsid w:val="003D672A"/>
    <w:rsid w:val="003E2C18"/>
    <w:rsid w:val="003E5196"/>
    <w:rsid w:val="003E5502"/>
    <w:rsid w:val="003E5ED9"/>
    <w:rsid w:val="00400C16"/>
    <w:rsid w:val="004047D7"/>
    <w:rsid w:val="00404875"/>
    <w:rsid w:val="00411549"/>
    <w:rsid w:val="00412522"/>
    <w:rsid w:val="004136EA"/>
    <w:rsid w:val="00415D1E"/>
    <w:rsid w:val="0041623A"/>
    <w:rsid w:val="00416D11"/>
    <w:rsid w:val="004220AD"/>
    <w:rsid w:val="00423EF2"/>
    <w:rsid w:val="004241D0"/>
    <w:rsid w:val="00427F9E"/>
    <w:rsid w:val="00443B85"/>
    <w:rsid w:val="00455FAC"/>
    <w:rsid w:val="004606FC"/>
    <w:rsid w:val="00462AC3"/>
    <w:rsid w:val="00464744"/>
    <w:rsid w:val="00467517"/>
    <w:rsid w:val="00471066"/>
    <w:rsid w:val="004734E9"/>
    <w:rsid w:val="00480304"/>
    <w:rsid w:val="00481E33"/>
    <w:rsid w:val="00481F61"/>
    <w:rsid w:val="00482C57"/>
    <w:rsid w:val="00483017"/>
    <w:rsid w:val="00487A3A"/>
    <w:rsid w:val="004A02C8"/>
    <w:rsid w:val="004A5EFB"/>
    <w:rsid w:val="004C09C0"/>
    <w:rsid w:val="004C1EB5"/>
    <w:rsid w:val="004D3BD9"/>
    <w:rsid w:val="004E2759"/>
    <w:rsid w:val="004F17F9"/>
    <w:rsid w:val="004F5CBF"/>
    <w:rsid w:val="00511D0E"/>
    <w:rsid w:val="00515D0B"/>
    <w:rsid w:val="005220FC"/>
    <w:rsid w:val="00524448"/>
    <w:rsid w:val="00531AD8"/>
    <w:rsid w:val="005333BB"/>
    <w:rsid w:val="0053697F"/>
    <w:rsid w:val="00542EA5"/>
    <w:rsid w:val="00544697"/>
    <w:rsid w:val="00544A3C"/>
    <w:rsid w:val="00546EC0"/>
    <w:rsid w:val="00553A37"/>
    <w:rsid w:val="00555312"/>
    <w:rsid w:val="005578E8"/>
    <w:rsid w:val="005707CA"/>
    <w:rsid w:val="0057103A"/>
    <w:rsid w:val="00580CEF"/>
    <w:rsid w:val="0058434E"/>
    <w:rsid w:val="00584587"/>
    <w:rsid w:val="005860DD"/>
    <w:rsid w:val="005A37D1"/>
    <w:rsid w:val="005A49BA"/>
    <w:rsid w:val="005A535E"/>
    <w:rsid w:val="005A6F87"/>
    <w:rsid w:val="005A70B3"/>
    <w:rsid w:val="005B2FDB"/>
    <w:rsid w:val="005B395F"/>
    <w:rsid w:val="005C5FC9"/>
    <w:rsid w:val="005D094C"/>
    <w:rsid w:val="005D2324"/>
    <w:rsid w:val="005D4F5C"/>
    <w:rsid w:val="005E14DA"/>
    <w:rsid w:val="005E7A38"/>
    <w:rsid w:val="005F26B5"/>
    <w:rsid w:val="005F47B6"/>
    <w:rsid w:val="005F55C3"/>
    <w:rsid w:val="006001F3"/>
    <w:rsid w:val="00602B62"/>
    <w:rsid w:val="00616D6F"/>
    <w:rsid w:val="0062063D"/>
    <w:rsid w:val="006251E1"/>
    <w:rsid w:val="006406C8"/>
    <w:rsid w:val="00641435"/>
    <w:rsid w:val="0065393E"/>
    <w:rsid w:val="00654C1A"/>
    <w:rsid w:val="00655358"/>
    <w:rsid w:val="006637B6"/>
    <w:rsid w:val="0066751B"/>
    <w:rsid w:val="00681C11"/>
    <w:rsid w:val="00681E8C"/>
    <w:rsid w:val="00686534"/>
    <w:rsid w:val="00691383"/>
    <w:rsid w:val="006A2586"/>
    <w:rsid w:val="006A270F"/>
    <w:rsid w:val="006A3E5C"/>
    <w:rsid w:val="006B0166"/>
    <w:rsid w:val="006B1F43"/>
    <w:rsid w:val="006C0215"/>
    <w:rsid w:val="006C22B0"/>
    <w:rsid w:val="006C2B14"/>
    <w:rsid w:val="006C3810"/>
    <w:rsid w:val="006D3064"/>
    <w:rsid w:val="006D3BD2"/>
    <w:rsid w:val="006E73A4"/>
    <w:rsid w:val="006F06F0"/>
    <w:rsid w:val="006F371B"/>
    <w:rsid w:val="006F6F46"/>
    <w:rsid w:val="006F7473"/>
    <w:rsid w:val="006F7509"/>
    <w:rsid w:val="00723073"/>
    <w:rsid w:val="0072317C"/>
    <w:rsid w:val="00726138"/>
    <w:rsid w:val="0073615C"/>
    <w:rsid w:val="0074027D"/>
    <w:rsid w:val="00744CFD"/>
    <w:rsid w:val="0075364B"/>
    <w:rsid w:val="007637EC"/>
    <w:rsid w:val="00773AC1"/>
    <w:rsid w:val="00784FE7"/>
    <w:rsid w:val="007A3336"/>
    <w:rsid w:val="007A59E8"/>
    <w:rsid w:val="007B05BC"/>
    <w:rsid w:val="007E0EB0"/>
    <w:rsid w:val="007E33A3"/>
    <w:rsid w:val="00802458"/>
    <w:rsid w:val="00802806"/>
    <w:rsid w:val="00805A34"/>
    <w:rsid w:val="008066EF"/>
    <w:rsid w:val="00811976"/>
    <w:rsid w:val="00813986"/>
    <w:rsid w:val="00815AF9"/>
    <w:rsid w:val="00820383"/>
    <w:rsid w:val="00820B31"/>
    <w:rsid w:val="00821B5B"/>
    <w:rsid w:val="00825B85"/>
    <w:rsid w:val="00825D6E"/>
    <w:rsid w:val="00827ABA"/>
    <w:rsid w:val="0083341E"/>
    <w:rsid w:val="00834E93"/>
    <w:rsid w:val="00843CCE"/>
    <w:rsid w:val="00844E38"/>
    <w:rsid w:val="008505C6"/>
    <w:rsid w:val="008662EA"/>
    <w:rsid w:val="00870982"/>
    <w:rsid w:val="008876B4"/>
    <w:rsid w:val="0089032B"/>
    <w:rsid w:val="0089083E"/>
    <w:rsid w:val="008963F1"/>
    <w:rsid w:val="008968DF"/>
    <w:rsid w:val="008B1870"/>
    <w:rsid w:val="008B2817"/>
    <w:rsid w:val="008B7E52"/>
    <w:rsid w:val="008C5BDE"/>
    <w:rsid w:val="008D0CD7"/>
    <w:rsid w:val="008D3F8D"/>
    <w:rsid w:val="008D4306"/>
    <w:rsid w:val="008E188A"/>
    <w:rsid w:val="008F3D1E"/>
    <w:rsid w:val="008F716D"/>
    <w:rsid w:val="009022FB"/>
    <w:rsid w:val="009114C8"/>
    <w:rsid w:val="00913262"/>
    <w:rsid w:val="009155C7"/>
    <w:rsid w:val="0092139C"/>
    <w:rsid w:val="0093290E"/>
    <w:rsid w:val="00934E4E"/>
    <w:rsid w:val="009409F8"/>
    <w:rsid w:val="00951E1D"/>
    <w:rsid w:val="0095280C"/>
    <w:rsid w:val="009613BD"/>
    <w:rsid w:val="00967F3A"/>
    <w:rsid w:val="009774EC"/>
    <w:rsid w:val="009860E1"/>
    <w:rsid w:val="00987CE9"/>
    <w:rsid w:val="00994540"/>
    <w:rsid w:val="009A34BE"/>
    <w:rsid w:val="009A4E8D"/>
    <w:rsid w:val="009B11AE"/>
    <w:rsid w:val="009B162D"/>
    <w:rsid w:val="009C2B3E"/>
    <w:rsid w:val="009C4927"/>
    <w:rsid w:val="009C52C7"/>
    <w:rsid w:val="009D1501"/>
    <w:rsid w:val="009D5FA8"/>
    <w:rsid w:val="009E2E6B"/>
    <w:rsid w:val="009F4CBE"/>
    <w:rsid w:val="009F6AAA"/>
    <w:rsid w:val="009F7DF5"/>
    <w:rsid w:val="00A00A93"/>
    <w:rsid w:val="00A03301"/>
    <w:rsid w:val="00A0491B"/>
    <w:rsid w:val="00A054C6"/>
    <w:rsid w:val="00A1752D"/>
    <w:rsid w:val="00A257CC"/>
    <w:rsid w:val="00A2715D"/>
    <w:rsid w:val="00A27902"/>
    <w:rsid w:val="00A30CE6"/>
    <w:rsid w:val="00A31322"/>
    <w:rsid w:val="00A35645"/>
    <w:rsid w:val="00A364D8"/>
    <w:rsid w:val="00A5194A"/>
    <w:rsid w:val="00A617F9"/>
    <w:rsid w:val="00A73758"/>
    <w:rsid w:val="00A73790"/>
    <w:rsid w:val="00A73B7E"/>
    <w:rsid w:val="00A75493"/>
    <w:rsid w:val="00A75A0C"/>
    <w:rsid w:val="00AA3212"/>
    <w:rsid w:val="00AC0641"/>
    <w:rsid w:val="00AD3421"/>
    <w:rsid w:val="00AD363A"/>
    <w:rsid w:val="00AD3B79"/>
    <w:rsid w:val="00AD6ABB"/>
    <w:rsid w:val="00B07410"/>
    <w:rsid w:val="00B139A3"/>
    <w:rsid w:val="00B17EFE"/>
    <w:rsid w:val="00B27C17"/>
    <w:rsid w:val="00B4364F"/>
    <w:rsid w:val="00B44136"/>
    <w:rsid w:val="00B44F93"/>
    <w:rsid w:val="00B45593"/>
    <w:rsid w:val="00B5604B"/>
    <w:rsid w:val="00B60C32"/>
    <w:rsid w:val="00B6462F"/>
    <w:rsid w:val="00B9235C"/>
    <w:rsid w:val="00B93315"/>
    <w:rsid w:val="00B9491F"/>
    <w:rsid w:val="00B95528"/>
    <w:rsid w:val="00B960E7"/>
    <w:rsid w:val="00B96A9A"/>
    <w:rsid w:val="00B97310"/>
    <w:rsid w:val="00BA61BA"/>
    <w:rsid w:val="00BA75E4"/>
    <w:rsid w:val="00BB19C3"/>
    <w:rsid w:val="00BC215E"/>
    <w:rsid w:val="00BD71E3"/>
    <w:rsid w:val="00BE0D78"/>
    <w:rsid w:val="00BE0E93"/>
    <w:rsid w:val="00BE4E42"/>
    <w:rsid w:val="00BF0C36"/>
    <w:rsid w:val="00BF4B3C"/>
    <w:rsid w:val="00BF784D"/>
    <w:rsid w:val="00C00C05"/>
    <w:rsid w:val="00C02342"/>
    <w:rsid w:val="00C038BF"/>
    <w:rsid w:val="00C0527F"/>
    <w:rsid w:val="00C14A84"/>
    <w:rsid w:val="00C156F7"/>
    <w:rsid w:val="00C225D1"/>
    <w:rsid w:val="00C227A4"/>
    <w:rsid w:val="00C25ED8"/>
    <w:rsid w:val="00C266EE"/>
    <w:rsid w:val="00C33672"/>
    <w:rsid w:val="00C46AEA"/>
    <w:rsid w:val="00C50939"/>
    <w:rsid w:val="00C54A26"/>
    <w:rsid w:val="00C660AA"/>
    <w:rsid w:val="00C70E60"/>
    <w:rsid w:val="00C7352B"/>
    <w:rsid w:val="00C84107"/>
    <w:rsid w:val="00C90806"/>
    <w:rsid w:val="00CA5CAF"/>
    <w:rsid w:val="00CB230E"/>
    <w:rsid w:val="00CB482A"/>
    <w:rsid w:val="00CC1EA7"/>
    <w:rsid w:val="00CD222C"/>
    <w:rsid w:val="00CD24BB"/>
    <w:rsid w:val="00CD274E"/>
    <w:rsid w:val="00CD77A2"/>
    <w:rsid w:val="00CE0017"/>
    <w:rsid w:val="00CE2D21"/>
    <w:rsid w:val="00CE468D"/>
    <w:rsid w:val="00CF03FA"/>
    <w:rsid w:val="00CF3460"/>
    <w:rsid w:val="00CF3D40"/>
    <w:rsid w:val="00D05DB2"/>
    <w:rsid w:val="00D13A70"/>
    <w:rsid w:val="00D32712"/>
    <w:rsid w:val="00D47680"/>
    <w:rsid w:val="00D53045"/>
    <w:rsid w:val="00D61C0F"/>
    <w:rsid w:val="00D61D25"/>
    <w:rsid w:val="00D61FED"/>
    <w:rsid w:val="00D6210A"/>
    <w:rsid w:val="00D63006"/>
    <w:rsid w:val="00D66A0B"/>
    <w:rsid w:val="00D70F10"/>
    <w:rsid w:val="00D857DD"/>
    <w:rsid w:val="00D871BD"/>
    <w:rsid w:val="00D910B7"/>
    <w:rsid w:val="00D92DE8"/>
    <w:rsid w:val="00D94623"/>
    <w:rsid w:val="00DA1955"/>
    <w:rsid w:val="00DA5810"/>
    <w:rsid w:val="00DB1E90"/>
    <w:rsid w:val="00DB4ABB"/>
    <w:rsid w:val="00DD1ACA"/>
    <w:rsid w:val="00DD309C"/>
    <w:rsid w:val="00DD5B59"/>
    <w:rsid w:val="00DE207A"/>
    <w:rsid w:val="00DE4697"/>
    <w:rsid w:val="00DF4268"/>
    <w:rsid w:val="00DF7D22"/>
    <w:rsid w:val="00E002BA"/>
    <w:rsid w:val="00E01A2C"/>
    <w:rsid w:val="00E01F2A"/>
    <w:rsid w:val="00E21488"/>
    <w:rsid w:val="00E253A2"/>
    <w:rsid w:val="00E27221"/>
    <w:rsid w:val="00E4196B"/>
    <w:rsid w:val="00E4634E"/>
    <w:rsid w:val="00E56B5C"/>
    <w:rsid w:val="00E7570E"/>
    <w:rsid w:val="00EB10C1"/>
    <w:rsid w:val="00EC6B66"/>
    <w:rsid w:val="00ED11CA"/>
    <w:rsid w:val="00ED5C7B"/>
    <w:rsid w:val="00ED65F3"/>
    <w:rsid w:val="00EE3A31"/>
    <w:rsid w:val="00EF6A90"/>
    <w:rsid w:val="00F00CAB"/>
    <w:rsid w:val="00F12D6E"/>
    <w:rsid w:val="00F13D78"/>
    <w:rsid w:val="00F15CFA"/>
    <w:rsid w:val="00F41395"/>
    <w:rsid w:val="00F4247D"/>
    <w:rsid w:val="00F42B37"/>
    <w:rsid w:val="00F43CA6"/>
    <w:rsid w:val="00F4423A"/>
    <w:rsid w:val="00F52061"/>
    <w:rsid w:val="00F616AF"/>
    <w:rsid w:val="00F644C2"/>
    <w:rsid w:val="00F6473B"/>
    <w:rsid w:val="00F65233"/>
    <w:rsid w:val="00F70E22"/>
    <w:rsid w:val="00F72299"/>
    <w:rsid w:val="00F73AEB"/>
    <w:rsid w:val="00F81ECB"/>
    <w:rsid w:val="00F85829"/>
    <w:rsid w:val="00F86609"/>
    <w:rsid w:val="00F90A4C"/>
    <w:rsid w:val="00F90B6F"/>
    <w:rsid w:val="00F90C3A"/>
    <w:rsid w:val="00F968E2"/>
    <w:rsid w:val="00FA1604"/>
    <w:rsid w:val="00FA36A8"/>
    <w:rsid w:val="00FB4530"/>
    <w:rsid w:val="00FB5812"/>
    <w:rsid w:val="00FB5F28"/>
    <w:rsid w:val="00FB7311"/>
    <w:rsid w:val="00FD3260"/>
    <w:rsid w:val="00FE2C74"/>
    <w:rsid w:val="00FE35EB"/>
    <w:rsid w:val="00FF3EB1"/>
    <w:rsid w:val="00FF5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C8"/>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Textodenotaderodap">
    <w:name w:val="footnote text"/>
    <w:basedOn w:val="Normal"/>
    <w:link w:val="TextodenotaderodapChar"/>
    <w:uiPriority w:val="99"/>
    <w:semiHidden/>
    <w:unhideWhenUsed/>
    <w:rsid w:val="00C14A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4A84"/>
    <w:rPr>
      <w:sz w:val="20"/>
      <w:szCs w:val="20"/>
    </w:rPr>
  </w:style>
  <w:style w:type="character" w:styleId="Refdenotaderodap">
    <w:name w:val="footnote reference"/>
    <w:basedOn w:val="Fontepargpadro"/>
    <w:uiPriority w:val="99"/>
    <w:semiHidden/>
    <w:unhideWhenUsed/>
    <w:rsid w:val="00C14A84"/>
    <w:rPr>
      <w:vertAlign w:val="superscript"/>
    </w:rPr>
  </w:style>
  <w:style w:type="character" w:styleId="Hyperlink">
    <w:name w:val="Hyperlink"/>
    <w:uiPriority w:val="99"/>
    <w:semiHidden/>
    <w:unhideWhenUsed/>
    <w:rsid w:val="00686534"/>
    <w:rPr>
      <w:color w:val="0000FF"/>
      <w:u w:val="single"/>
    </w:rPr>
  </w:style>
  <w:style w:type="character" w:styleId="nfase">
    <w:name w:val="Emphasis"/>
    <w:qFormat/>
    <w:rsid w:val="00F90C3A"/>
    <w:rPr>
      <w:i/>
      <w:iCs/>
    </w:rPr>
  </w:style>
  <w:style w:type="character" w:customStyle="1" w:styleId="apple-converted-space">
    <w:name w:val="apple-converted-space"/>
    <w:rsid w:val="00F90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143156004">
      <w:bodyDiv w:val="1"/>
      <w:marLeft w:val="0"/>
      <w:marRight w:val="0"/>
      <w:marTop w:val="0"/>
      <w:marBottom w:val="0"/>
      <w:divBdr>
        <w:top w:val="none" w:sz="0" w:space="0" w:color="auto"/>
        <w:left w:val="none" w:sz="0" w:space="0" w:color="auto"/>
        <w:bottom w:val="none" w:sz="0" w:space="0" w:color="auto"/>
        <w:right w:val="none" w:sz="0" w:space="0" w:color="auto"/>
      </w:divBdr>
    </w:div>
    <w:div w:id="1207723155">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DA70-360C-487C-915B-8575D05D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987</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Santiago da Silva</dc:creator>
  <cp:keywords/>
  <dc:description/>
  <cp:lastModifiedBy>Thereza Marina Cunha M. Cunha</cp:lastModifiedBy>
  <cp:revision>15</cp:revision>
  <cp:lastPrinted>2016-02-16T19:56:00Z</cp:lastPrinted>
  <dcterms:created xsi:type="dcterms:W3CDTF">2016-02-25T18:44:00Z</dcterms:created>
  <dcterms:modified xsi:type="dcterms:W3CDTF">2016-03-07T17:03:00Z</dcterms:modified>
</cp:coreProperties>
</file>