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8D337D" w:rsidRDefault="00546EC0" w:rsidP="00E77872">
      <w:pPr>
        <w:spacing w:after="0"/>
        <w:jc w:val="center"/>
        <w:rPr>
          <w:rFonts w:ascii="Times New Roman" w:hAnsi="Times New Roman" w:cs="Times New Roman"/>
          <w:sz w:val="18"/>
          <w:szCs w:val="18"/>
        </w:rPr>
      </w:pPr>
      <w:r w:rsidRPr="008D337D">
        <w:rPr>
          <w:noProof/>
          <w:sz w:val="24"/>
          <w:szCs w:val="24"/>
          <w:lang w:eastAsia="pt-BR"/>
        </w:rPr>
        <w:drawing>
          <wp:anchor distT="0" distB="0" distL="114300" distR="114300" simplePos="0" relativeHeight="251658240" behindDoc="0" locked="0" layoutInCell="1" allowOverlap="1" wp14:anchorId="6DCB42FF" wp14:editId="29D61BB6">
            <wp:simplePos x="0" y="0"/>
            <wp:positionH relativeFrom="column">
              <wp:posOffset>2144660</wp:posOffset>
            </wp:positionH>
            <wp:positionV relativeFrom="paragraph">
              <wp:align>top</wp:align>
            </wp:positionV>
            <wp:extent cx="909320" cy="667385"/>
            <wp:effectExtent l="0" t="0" r="5080" b="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25" cy="668874"/>
                    </a:xfrm>
                    <a:prstGeom prst="rect">
                      <a:avLst/>
                    </a:prstGeom>
                    <a:noFill/>
                    <a:ln>
                      <a:noFill/>
                    </a:ln>
                  </pic:spPr>
                </pic:pic>
              </a:graphicData>
            </a:graphic>
            <wp14:sizeRelV relativeFrom="margin">
              <wp14:pctHeight>0</wp14:pctHeight>
            </wp14:sizeRelV>
          </wp:anchor>
        </w:drawing>
      </w:r>
      <w:r w:rsidR="002B290D" w:rsidRPr="008D337D">
        <w:rPr>
          <w:sz w:val="24"/>
          <w:szCs w:val="24"/>
        </w:rPr>
        <w:br w:type="textWrapping" w:clear="all"/>
      </w:r>
      <w:r w:rsidR="00D61FED" w:rsidRPr="008D337D">
        <w:rPr>
          <w:rFonts w:ascii="Times New Roman" w:hAnsi="Times New Roman" w:cs="Times New Roman"/>
          <w:sz w:val="18"/>
          <w:szCs w:val="18"/>
        </w:rPr>
        <w:t xml:space="preserve">Governo do </w:t>
      </w:r>
      <w:r w:rsidR="009A4E8D" w:rsidRPr="008D337D">
        <w:rPr>
          <w:rFonts w:ascii="Times New Roman" w:hAnsi="Times New Roman" w:cs="Times New Roman"/>
          <w:sz w:val="18"/>
          <w:szCs w:val="18"/>
        </w:rPr>
        <w:t>E</w:t>
      </w:r>
      <w:r w:rsidR="00D61FED" w:rsidRPr="008D337D">
        <w:rPr>
          <w:rFonts w:ascii="Times New Roman" w:hAnsi="Times New Roman" w:cs="Times New Roman"/>
          <w:sz w:val="18"/>
          <w:szCs w:val="18"/>
        </w:rPr>
        <w:t xml:space="preserve">stado do </w:t>
      </w:r>
      <w:r w:rsidR="009A4E8D" w:rsidRPr="008D337D">
        <w:rPr>
          <w:rFonts w:ascii="Times New Roman" w:hAnsi="Times New Roman" w:cs="Times New Roman"/>
          <w:sz w:val="18"/>
          <w:szCs w:val="18"/>
        </w:rPr>
        <w:t>R</w:t>
      </w:r>
      <w:r w:rsidR="00D61FED" w:rsidRPr="008D337D">
        <w:rPr>
          <w:rFonts w:ascii="Times New Roman" w:hAnsi="Times New Roman" w:cs="Times New Roman"/>
          <w:sz w:val="18"/>
          <w:szCs w:val="18"/>
        </w:rPr>
        <w:t xml:space="preserve">io de </w:t>
      </w:r>
      <w:r w:rsidR="009A4E8D" w:rsidRPr="008D337D">
        <w:rPr>
          <w:rFonts w:ascii="Times New Roman" w:hAnsi="Times New Roman" w:cs="Times New Roman"/>
          <w:sz w:val="18"/>
          <w:szCs w:val="18"/>
        </w:rPr>
        <w:t>J</w:t>
      </w:r>
      <w:r w:rsidR="00D61FED" w:rsidRPr="008D337D">
        <w:rPr>
          <w:rFonts w:ascii="Times New Roman" w:hAnsi="Times New Roman" w:cs="Times New Roman"/>
          <w:sz w:val="18"/>
          <w:szCs w:val="18"/>
        </w:rPr>
        <w:t>aneiro</w:t>
      </w:r>
    </w:p>
    <w:p w:rsidR="00546EC0" w:rsidRPr="008D337D" w:rsidRDefault="00D61FED" w:rsidP="00E77872">
      <w:pPr>
        <w:spacing w:after="0" w:line="240" w:lineRule="auto"/>
        <w:jc w:val="center"/>
        <w:rPr>
          <w:rFonts w:ascii="Times New Roman" w:hAnsi="Times New Roman" w:cs="Times New Roman"/>
          <w:sz w:val="18"/>
          <w:szCs w:val="18"/>
        </w:rPr>
      </w:pPr>
      <w:r w:rsidRPr="008D337D">
        <w:rPr>
          <w:rFonts w:ascii="Times New Roman" w:hAnsi="Times New Roman" w:cs="Times New Roman"/>
          <w:sz w:val="18"/>
          <w:szCs w:val="18"/>
        </w:rPr>
        <w:t xml:space="preserve">Secretaria de </w:t>
      </w:r>
      <w:r w:rsidR="009A4E8D" w:rsidRPr="008D337D">
        <w:rPr>
          <w:rFonts w:ascii="Times New Roman" w:hAnsi="Times New Roman" w:cs="Times New Roman"/>
          <w:sz w:val="18"/>
          <w:szCs w:val="18"/>
        </w:rPr>
        <w:t>E</w:t>
      </w:r>
      <w:r w:rsidRPr="008D337D">
        <w:rPr>
          <w:rFonts w:ascii="Times New Roman" w:hAnsi="Times New Roman" w:cs="Times New Roman"/>
          <w:sz w:val="18"/>
          <w:szCs w:val="18"/>
        </w:rPr>
        <w:t xml:space="preserve">stado de </w:t>
      </w:r>
      <w:r w:rsidR="009A4E8D" w:rsidRPr="008D337D">
        <w:rPr>
          <w:rFonts w:ascii="Times New Roman" w:hAnsi="Times New Roman" w:cs="Times New Roman"/>
          <w:sz w:val="18"/>
          <w:szCs w:val="18"/>
        </w:rPr>
        <w:t>F</w:t>
      </w:r>
      <w:r w:rsidRPr="008D337D">
        <w:rPr>
          <w:rFonts w:ascii="Times New Roman" w:hAnsi="Times New Roman" w:cs="Times New Roman"/>
          <w:sz w:val="18"/>
          <w:szCs w:val="18"/>
        </w:rPr>
        <w:t>azenda</w:t>
      </w:r>
    </w:p>
    <w:sdt>
      <w:sdtPr>
        <w:rPr>
          <w:rFonts w:ascii="Times New Roman" w:hAnsi="Times New Roman" w:cs="Times New Roman"/>
          <w:sz w:val="18"/>
          <w:szCs w:val="18"/>
        </w:rPr>
        <w:alias w:val="Nome do órgão e hierarquia"/>
        <w:tag w:val="Nome do órgão e hierarquia"/>
        <w:id w:val="-1639710013"/>
        <w:placeholder>
          <w:docPart w:val="DefaultPlaceholder_1082065158"/>
        </w:placeholder>
        <w:text/>
      </w:sdtPr>
      <w:sdtEndPr/>
      <w:sdtContent>
        <w:p w:rsidR="0066751B" w:rsidRPr="008D337D" w:rsidRDefault="009A4E8D" w:rsidP="00E77872">
          <w:pPr>
            <w:spacing w:after="0" w:line="240" w:lineRule="auto"/>
            <w:jc w:val="center"/>
            <w:rPr>
              <w:rFonts w:ascii="Times New Roman" w:hAnsi="Times New Roman" w:cs="Times New Roman"/>
              <w:sz w:val="18"/>
              <w:szCs w:val="18"/>
            </w:rPr>
          </w:pPr>
          <w:r w:rsidRPr="008D337D">
            <w:rPr>
              <w:rFonts w:ascii="Times New Roman" w:hAnsi="Times New Roman" w:cs="Times New Roman"/>
              <w:sz w:val="18"/>
              <w:szCs w:val="18"/>
            </w:rPr>
            <w:t>S</w:t>
          </w:r>
          <w:r w:rsidR="00D61FED" w:rsidRPr="008D337D">
            <w:rPr>
              <w:rFonts w:ascii="Times New Roman" w:hAnsi="Times New Roman" w:cs="Times New Roman"/>
              <w:sz w:val="18"/>
              <w:szCs w:val="18"/>
            </w:rPr>
            <w:t xml:space="preserve">ubsecretaria de </w:t>
          </w:r>
          <w:r w:rsidRPr="008D337D">
            <w:rPr>
              <w:rFonts w:ascii="Times New Roman" w:hAnsi="Times New Roman" w:cs="Times New Roman"/>
              <w:sz w:val="18"/>
              <w:szCs w:val="18"/>
            </w:rPr>
            <w:t>R</w:t>
          </w:r>
          <w:r w:rsidR="00D61FED" w:rsidRPr="008D337D">
            <w:rPr>
              <w:rFonts w:ascii="Times New Roman" w:hAnsi="Times New Roman" w:cs="Times New Roman"/>
              <w:sz w:val="18"/>
              <w:szCs w:val="18"/>
            </w:rPr>
            <w:t>eceita</w:t>
          </w:r>
        </w:p>
      </w:sdtContent>
    </w:sdt>
    <w:p w:rsidR="0017567B" w:rsidRPr="008D337D" w:rsidRDefault="0017567B" w:rsidP="00E77872">
      <w:pPr>
        <w:spacing w:after="0" w:line="240" w:lineRule="auto"/>
        <w:ind w:firstLine="708"/>
        <w:jc w:val="both"/>
        <w:rPr>
          <w:rFonts w:ascii="Verdana" w:hAnsi="Verdana" w:cs="Arial"/>
          <w:sz w:val="24"/>
          <w:szCs w:val="24"/>
        </w:rPr>
      </w:pPr>
    </w:p>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8D337D" w:rsidTr="00227869">
        <w:tc>
          <w:tcPr>
            <w:tcW w:w="1488" w:type="dxa"/>
            <w:shd w:val="clear" w:color="auto" w:fill="auto"/>
          </w:tcPr>
          <w:p w:rsidR="006051EE" w:rsidRPr="006D34D8" w:rsidRDefault="006051EE" w:rsidP="00E77872">
            <w:pPr>
              <w:snapToGrid w:val="0"/>
              <w:rPr>
                <w:rFonts w:ascii="Times New Roman" w:hAnsi="Times New Roman" w:cs="Times New Roman"/>
                <w:b/>
                <w:smallCaps/>
                <w:sz w:val="24"/>
                <w:szCs w:val="24"/>
              </w:rPr>
            </w:pPr>
            <w:r w:rsidRPr="006D34D8">
              <w:rPr>
                <w:rFonts w:ascii="Times New Roman" w:hAnsi="Times New Roman" w:cs="Times New Roman"/>
                <w:b/>
                <w:smallCaps/>
                <w:sz w:val="24"/>
                <w:szCs w:val="24"/>
              </w:rPr>
              <w:t>Assunto</w:t>
            </w:r>
          </w:p>
        </w:tc>
        <w:tc>
          <w:tcPr>
            <w:tcW w:w="180" w:type="dxa"/>
            <w:shd w:val="clear" w:color="auto" w:fill="auto"/>
          </w:tcPr>
          <w:p w:rsidR="006051EE" w:rsidRPr="006D34D8" w:rsidRDefault="006051EE" w:rsidP="00E77872">
            <w:pPr>
              <w:snapToGrid w:val="0"/>
              <w:rPr>
                <w:rFonts w:ascii="Times New Roman" w:hAnsi="Times New Roman" w:cs="Times New Roman"/>
                <w:smallCaps/>
                <w:sz w:val="24"/>
                <w:szCs w:val="24"/>
              </w:rPr>
            </w:pPr>
            <w:r w:rsidRPr="006D34D8">
              <w:rPr>
                <w:rFonts w:ascii="Times New Roman" w:hAnsi="Times New Roman" w:cs="Times New Roman"/>
                <w:smallCaps/>
                <w:sz w:val="24"/>
                <w:szCs w:val="24"/>
              </w:rPr>
              <w:t>:</w:t>
            </w:r>
          </w:p>
        </w:tc>
        <w:tc>
          <w:tcPr>
            <w:tcW w:w="7333" w:type="dxa"/>
            <w:shd w:val="clear" w:color="auto" w:fill="auto"/>
          </w:tcPr>
          <w:p w:rsidR="006051EE" w:rsidRPr="006D34D8" w:rsidRDefault="00EE0AAA" w:rsidP="00E77872">
            <w:pPr>
              <w:snapToGrid w:val="0"/>
              <w:jc w:val="both"/>
              <w:rPr>
                <w:rFonts w:ascii="Times New Roman" w:hAnsi="Times New Roman" w:cs="Times New Roman"/>
                <w:smallCaps/>
                <w:sz w:val="24"/>
                <w:szCs w:val="24"/>
              </w:rPr>
            </w:pPr>
            <w:r w:rsidRPr="006D34D8">
              <w:rPr>
                <w:rFonts w:ascii="Times New Roman" w:hAnsi="Times New Roman" w:cs="Times New Roman"/>
                <w:smallCaps/>
                <w:sz w:val="24"/>
                <w:szCs w:val="24"/>
              </w:rPr>
              <w:t>Lei 4.056/2002. Medicamentos excepcionais</w:t>
            </w:r>
            <w:r w:rsidR="00343CF8" w:rsidRPr="006D34D8">
              <w:rPr>
                <w:rFonts w:ascii="Times New Roman" w:hAnsi="Times New Roman" w:cs="Times New Roman"/>
                <w:smallCaps/>
                <w:sz w:val="24"/>
                <w:szCs w:val="24"/>
              </w:rPr>
              <w:t>.</w:t>
            </w:r>
            <w:r w:rsidRPr="006D34D8">
              <w:rPr>
                <w:rFonts w:ascii="Times New Roman" w:hAnsi="Times New Roman" w:cs="Times New Roman"/>
                <w:smallCaps/>
                <w:sz w:val="24"/>
                <w:szCs w:val="24"/>
              </w:rPr>
              <w:t xml:space="preserve"> </w:t>
            </w:r>
            <w:proofErr w:type="spellStart"/>
            <w:r w:rsidRPr="006D34D8">
              <w:rPr>
                <w:rFonts w:ascii="Times New Roman" w:hAnsi="Times New Roman" w:cs="Times New Roman"/>
                <w:smallCaps/>
                <w:sz w:val="24"/>
                <w:szCs w:val="24"/>
              </w:rPr>
              <w:t>Fecp</w:t>
            </w:r>
            <w:proofErr w:type="spellEnd"/>
            <w:r w:rsidRPr="006D34D8">
              <w:rPr>
                <w:rFonts w:ascii="Times New Roman" w:hAnsi="Times New Roman" w:cs="Times New Roman"/>
                <w:smallCaps/>
                <w:sz w:val="24"/>
                <w:szCs w:val="24"/>
              </w:rPr>
              <w:t>.</w:t>
            </w:r>
          </w:p>
          <w:p w:rsidR="006051EE" w:rsidRPr="006D34D8" w:rsidRDefault="006051EE" w:rsidP="00AA633F">
            <w:pPr>
              <w:snapToGrid w:val="0"/>
              <w:jc w:val="right"/>
              <w:rPr>
                <w:rFonts w:ascii="Times New Roman" w:hAnsi="Times New Roman" w:cs="Times New Roman"/>
                <w:b/>
                <w:smallCaps/>
                <w:sz w:val="24"/>
                <w:szCs w:val="24"/>
              </w:rPr>
            </w:pPr>
            <w:r w:rsidRPr="006D34D8">
              <w:rPr>
                <w:rFonts w:ascii="Times New Roman" w:hAnsi="Times New Roman" w:cs="Times New Roman"/>
                <w:b/>
                <w:smallCaps/>
                <w:sz w:val="24"/>
                <w:szCs w:val="24"/>
              </w:rPr>
              <w:t>Consulta Externa nº</w:t>
            </w:r>
            <w:r w:rsidR="00AA633F">
              <w:rPr>
                <w:rFonts w:ascii="Times New Roman" w:hAnsi="Times New Roman" w:cs="Times New Roman"/>
                <w:b/>
                <w:smallCaps/>
                <w:sz w:val="24"/>
                <w:szCs w:val="24"/>
              </w:rPr>
              <w:t xml:space="preserve"> 015</w:t>
            </w:r>
            <w:r w:rsidRPr="006D34D8">
              <w:rPr>
                <w:rFonts w:ascii="Times New Roman" w:hAnsi="Times New Roman" w:cs="Times New Roman"/>
                <w:b/>
                <w:smallCaps/>
                <w:sz w:val="24"/>
                <w:szCs w:val="24"/>
              </w:rPr>
              <w:t xml:space="preserve"> /1</w:t>
            </w:r>
            <w:r w:rsidR="00AB233D" w:rsidRPr="006D34D8">
              <w:rPr>
                <w:rFonts w:ascii="Times New Roman" w:hAnsi="Times New Roman" w:cs="Times New Roman"/>
                <w:b/>
                <w:smallCaps/>
                <w:sz w:val="24"/>
                <w:szCs w:val="24"/>
              </w:rPr>
              <w:t>6</w:t>
            </w:r>
          </w:p>
        </w:tc>
      </w:tr>
    </w:tbl>
    <w:p w:rsidR="00B96A31" w:rsidRPr="00043B41" w:rsidRDefault="00B96A31" w:rsidP="00E77872">
      <w:pPr>
        <w:spacing w:after="0" w:line="240" w:lineRule="auto"/>
        <w:rPr>
          <w:rFonts w:ascii="Times New Roman" w:hAnsi="Times New Roman" w:cs="Times New Roman"/>
          <w:sz w:val="24"/>
          <w:szCs w:val="24"/>
        </w:rPr>
      </w:pPr>
      <w:r w:rsidRPr="00043B41">
        <w:rPr>
          <w:rFonts w:ascii="Times New Roman" w:hAnsi="Times New Roman" w:cs="Times New Roman"/>
          <w:sz w:val="24"/>
          <w:szCs w:val="24"/>
        </w:rPr>
        <w:t xml:space="preserve"> </w:t>
      </w:r>
    </w:p>
    <w:p w:rsidR="00E458BA" w:rsidRPr="00043B41" w:rsidRDefault="00E458BA" w:rsidP="00E77872">
      <w:pPr>
        <w:pStyle w:val="Corpodetexto"/>
        <w:spacing w:line="360" w:lineRule="auto"/>
        <w:ind w:firstLine="708"/>
        <w:jc w:val="center"/>
        <w:rPr>
          <w:b/>
          <w:sz w:val="24"/>
        </w:rPr>
      </w:pPr>
      <w:r w:rsidRPr="00043B41">
        <w:rPr>
          <w:b/>
          <w:sz w:val="24"/>
        </w:rPr>
        <w:t>I – RELATÓRIO</w:t>
      </w:r>
    </w:p>
    <w:p w:rsidR="00282D42" w:rsidRPr="00043B41" w:rsidRDefault="00896671" w:rsidP="00E77872">
      <w:pPr>
        <w:tabs>
          <w:tab w:val="center" w:pos="4606"/>
          <w:tab w:val="left" w:pos="6270"/>
        </w:tabs>
        <w:spacing w:after="0" w:line="360" w:lineRule="auto"/>
        <w:ind w:firstLine="709"/>
        <w:jc w:val="both"/>
        <w:rPr>
          <w:rFonts w:ascii="Times New Roman" w:hAnsi="Times New Roman" w:cs="Times New Roman"/>
          <w:sz w:val="24"/>
          <w:szCs w:val="24"/>
        </w:rPr>
      </w:pPr>
      <w:r w:rsidRPr="00043B41">
        <w:rPr>
          <w:rFonts w:ascii="Times New Roman" w:hAnsi="Times New Roman" w:cs="Times New Roman"/>
          <w:sz w:val="24"/>
          <w:szCs w:val="24"/>
        </w:rPr>
        <w:t>A</w:t>
      </w:r>
      <w:r w:rsidR="00227869" w:rsidRPr="00043B41">
        <w:rPr>
          <w:rFonts w:ascii="Times New Roman" w:hAnsi="Times New Roman" w:cs="Times New Roman"/>
          <w:sz w:val="24"/>
          <w:szCs w:val="24"/>
        </w:rPr>
        <w:t xml:space="preserve"> petição inicial (</w:t>
      </w:r>
      <w:r w:rsidR="00227869" w:rsidRPr="00043B41">
        <w:rPr>
          <w:rFonts w:ascii="Times New Roman" w:hAnsi="Times New Roman" w:cs="Times New Roman"/>
          <w:i/>
          <w:sz w:val="24"/>
          <w:szCs w:val="24"/>
        </w:rPr>
        <w:t>fls</w:t>
      </w:r>
      <w:r w:rsidR="00227869" w:rsidRPr="00043B41">
        <w:rPr>
          <w:rFonts w:ascii="Times New Roman" w:hAnsi="Times New Roman" w:cs="Times New Roman"/>
          <w:sz w:val="24"/>
          <w:szCs w:val="24"/>
        </w:rPr>
        <w:t xml:space="preserve">. 03 </w:t>
      </w:r>
      <w:r w:rsidR="004E03F0">
        <w:rPr>
          <w:rFonts w:ascii="Times New Roman" w:hAnsi="Times New Roman" w:cs="Times New Roman"/>
          <w:sz w:val="24"/>
          <w:szCs w:val="24"/>
        </w:rPr>
        <w:t>e 06 a</w:t>
      </w:r>
      <w:r w:rsidR="00227869" w:rsidRPr="00043B41">
        <w:rPr>
          <w:rFonts w:ascii="Times New Roman" w:hAnsi="Times New Roman" w:cs="Times New Roman"/>
          <w:sz w:val="24"/>
          <w:szCs w:val="24"/>
        </w:rPr>
        <w:t xml:space="preserve"> </w:t>
      </w:r>
      <w:r w:rsidR="004E03F0">
        <w:rPr>
          <w:rFonts w:ascii="Times New Roman" w:hAnsi="Times New Roman" w:cs="Times New Roman"/>
          <w:sz w:val="24"/>
          <w:szCs w:val="24"/>
        </w:rPr>
        <w:t>09</w:t>
      </w:r>
      <w:r w:rsidR="00227869" w:rsidRPr="00043B41">
        <w:rPr>
          <w:rFonts w:ascii="Times New Roman" w:hAnsi="Times New Roman" w:cs="Times New Roman"/>
          <w:sz w:val="24"/>
          <w:szCs w:val="24"/>
        </w:rPr>
        <w:t>)</w:t>
      </w:r>
      <w:r w:rsidRPr="00043B41">
        <w:rPr>
          <w:rFonts w:ascii="Times New Roman" w:hAnsi="Times New Roman" w:cs="Times New Roman"/>
          <w:sz w:val="24"/>
          <w:szCs w:val="24"/>
        </w:rPr>
        <w:t xml:space="preserve"> está</w:t>
      </w:r>
      <w:r w:rsidR="00227869" w:rsidRPr="00043B41">
        <w:rPr>
          <w:rFonts w:ascii="Times New Roman" w:hAnsi="Times New Roman" w:cs="Times New Roman"/>
          <w:sz w:val="24"/>
          <w:szCs w:val="24"/>
        </w:rPr>
        <w:t xml:space="preserve"> devidamente assinada (</w:t>
      </w:r>
      <w:r w:rsidR="00227869" w:rsidRPr="00043B41">
        <w:rPr>
          <w:rFonts w:ascii="Times New Roman" w:hAnsi="Times New Roman" w:cs="Times New Roman"/>
          <w:i/>
          <w:sz w:val="24"/>
          <w:szCs w:val="24"/>
        </w:rPr>
        <w:t>fls</w:t>
      </w:r>
      <w:r w:rsidR="00227869" w:rsidRPr="00043B41">
        <w:rPr>
          <w:rFonts w:ascii="Times New Roman" w:hAnsi="Times New Roman" w:cs="Times New Roman"/>
          <w:sz w:val="24"/>
          <w:szCs w:val="24"/>
        </w:rPr>
        <w:t xml:space="preserve">. </w:t>
      </w:r>
      <w:r w:rsidR="004E03F0">
        <w:rPr>
          <w:rFonts w:ascii="Times New Roman" w:hAnsi="Times New Roman" w:cs="Times New Roman"/>
          <w:sz w:val="24"/>
          <w:szCs w:val="24"/>
        </w:rPr>
        <w:t>10</w:t>
      </w:r>
      <w:r w:rsidR="002D5ED1" w:rsidRPr="00043B41">
        <w:rPr>
          <w:rFonts w:ascii="Times New Roman" w:hAnsi="Times New Roman" w:cs="Times New Roman"/>
          <w:sz w:val="24"/>
          <w:szCs w:val="24"/>
        </w:rPr>
        <w:t xml:space="preserve"> a </w:t>
      </w:r>
      <w:r w:rsidR="004E03F0">
        <w:rPr>
          <w:rFonts w:ascii="Times New Roman" w:hAnsi="Times New Roman" w:cs="Times New Roman"/>
          <w:sz w:val="24"/>
          <w:szCs w:val="24"/>
        </w:rPr>
        <w:t>27</w:t>
      </w:r>
      <w:r w:rsidR="00227869" w:rsidRPr="00043B41">
        <w:rPr>
          <w:rFonts w:ascii="Times New Roman" w:hAnsi="Times New Roman" w:cs="Times New Roman"/>
          <w:sz w:val="24"/>
          <w:szCs w:val="24"/>
        </w:rPr>
        <w:t>) e acompanhada do recolhimento da taxa</w:t>
      </w:r>
      <w:r w:rsidR="001520B1" w:rsidRPr="00043B41">
        <w:rPr>
          <w:rFonts w:ascii="Times New Roman" w:hAnsi="Times New Roman" w:cs="Times New Roman"/>
          <w:sz w:val="24"/>
          <w:szCs w:val="24"/>
        </w:rPr>
        <w:t xml:space="preserve"> de serviços estaduais</w:t>
      </w:r>
      <w:r w:rsidR="00227869" w:rsidRPr="00043B41">
        <w:rPr>
          <w:rFonts w:ascii="Times New Roman" w:hAnsi="Times New Roman" w:cs="Times New Roman"/>
          <w:sz w:val="24"/>
          <w:szCs w:val="24"/>
        </w:rPr>
        <w:t xml:space="preserve"> (</w:t>
      </w:r>
      <w:r w:rsidR="00227869" w:rsidRPr="00043B41">
        <w:rPr>
          <w:rFonts w:ascii="Times New Roman" w:hAnsi="Times New Roman" w:cs="Times New Roman"/>
          <w:i/>
          <w:sz w:val="24"/>
          <w:szCs w:val="24"/>
        </w:rPr>
        <w:t>fl</w:t>
      </w:r>
      <w:r w:rsidR="00240924" w:rsidRPr="00043B41">
        <w:rPr>
          <w:rFonts w:ascii="Times New Roman" w:hAnsi="Times New Roman" w:cs="Times New Roman"/>
          <w:i/>
          <w:sz w:val="24"/>
          <w:szCs w:val="24"/>
        </w:rPr>
        <w:t>s</w:t>
      </w:r>
      <w:r w:rsidRPr="00043B41">
        <w:rPr>
          <w:rFonts w:ascii="Times New Roman" w:hAnsi="Times New Roman" w:cs="Times New Roman"/>
          <w:sz w:val="24"/>
          <w:szCs w:val="24"/>
        </w:rPr>
        <w:t xml:space="preserve">. </w:t>
      </w:r>
      <w:r w:rsidR="004E03F0">
        <w:rPr>
          <w:rFonts w:ascii="Times New Roman" w:hAnsi="Times New Roman" w:cs="Times New Roman"/>
          <w:sz w:val="24"/>
          <w:szCs w:val="24"/>
        </w:rPr>
        <w:t>04 e</w:t>
      </w:r>
      <w:r w:rsidR="00240924" w:rsidRPr="00043B41">
        <w:rPr>
          <w:rFonts w:ascii="Times New Roman" w:hAnsi="Times New Roman" w:cs="Times New Roman"/>
          <w:sz w:val="24"/>
          <w:szCs w:val="24"/>
        </w:rPr>
        <w:t xml:space="preserve"> </w:t>
      </w:r>
      <w:r w:rsidR="004E03F0">
        <w:rPr>
          <w:rFonts w:ascii="Times New Roman" w:hAnsi="Times New Roman" w:cs="Times New Roman"/>
          <w:sz w:val="24"/>
          <w:szCs w:val="24"/>
        </w:rPr>
        <w:t>05</w:t>
      </w:r>
      <w:r w:rsidRPr="00043B41">
        <w:rPr>
          <w:rFonts w:ascii="Times New Roman" w:hAnsi="Times New Roman" w:cs="Times New Roman"/>
          <w:sz w:val="24"/>
          <w:szCs w:val="24"/>
        </w:rPr>
        <w:t xml:space="preserve">). </w:t>
      </w:r>
    </w:p>
    <w:p w:rsidR="00227869" w:rsidRPr="00043B41" w:rsidRDefault="004E03F0" w:rsidP="00E77872">
      <w:pPr>
        <w:pStyle w:val="Corpodetexto"/>
        <w:spacing w:line="360" w:lineRule="auto"/>
        <w:ind w:firstLine="708"/>
        <w:jc w:val="both"/>
        <w:rPr>
          <w:sz w:val="24"/>
        </w:rPr>
      </w:pPr>
      <w:r>
        <w:rPr>
          <w:sz w:val="24"/>
        </w:rPr>
        <w:t>Informa a</w:t>
      </w:r>
      <w:r w:rsidR="004B602C" w:rsidRPr="00043B41">
        <w:rPr>
          <w:sz w:val="24"/>
        </w:rPr>
        <w:t xml:space="preserve"> autoridade fiscal da</w:t>
      </w:r>
      <w:r w:rsidR="00227869" w:rsidRPr="00043B41">
        <w:rPr>
          <w:sz w:val="24"/>
        </w:rPr>
        <w:t xml:space="preserve"> </w:t>
      </w:r>
      <w:r>
        <w:rPr>
          <w:sz w:val="24"/>
        </w:rPr>
        <w:t>Auditoria-fiscal Especializada de Substituição Tributária</w:t>
      </w:r>
      <w:r w:rsidR="004B602C" w:rsidRPr="00043B41">
        <w:rPr>
          <w:sz w:val="24"/>
        </w:rPr>
        <w:t xml:space="preserve"> </w:t>
      </w:r>
      <w:r w:rsidR="00227869" w:rsidRPr="00043B41">
        <w:rPr>
          <w:sz w:val="24"/>
        </w:rPr>
        <w:t>que</w:t>
      </w:r>
      <w:r>
        <w:rPr>
          <w:sz w:val="24"/>
        </w:rPr>
        <w:t>,</w:t>
      </w:r>
      <w:r w:rsidR="00227869" w:rsidRPr="00043B41">
        <w:rPr>
          <w:sz w:val="24"/>
        </w:rPr>
        <w:t xml:space="preserve"> </w:t>
      </w:r>
      <w:r w:rsidR="004B602C" w:rsidRPr="00043B41">
        <w:rPr>
          <w:i/>
          <w:sz w:val="24"/>
        </w:rPr>
        <w:t>“</w:t>
      </w:r>
      <w:r>
        <w:rPr>
          <w:i/>
          <w:sz w:val="24"/>
        </w:rPr>
        <w:t>consultando o sistema PLAFIS, constata-se que a consulente não se encontrava sob ação fiscal na data da protocolização da presente consulta. Informamos ainda que, de acordo com pesquisa realizada junto ao AIC, não existem débitos pendentes de julgamento</w:t>
      </w:r>
      <w:r w:rsidR="00227869" w:rsidRPr="00043B41">
        <w:rPr>
          <w:i/>
          <w:sz w:val="24"/>
        </w:rPr>
        <w:t>”</w:t>
      </w:r>
      <w:r w:rsidR="004B602C" w:rsidRPr="00043B41">
        <w:rPr>
          <w:sz w:val="24"/>
        </w:rPr>
        <w:t xml:space="preserve"> (</w:t>
      </w:r>
      <w:r w:rsidR="004B602C" w:rsidRPr="00A75EAF">
        <w:rPr>
          <w:i/>
          <w:sz w:val="24"/>
        </w:rPr>
        <w:t>fl</w:t>
      </w:r>
      <w:r w:rsidR="004B602C" w:rsidRPr="00043B41">
        <w:rPr>
          <w:sz w:val="24"/>
        </w:rPr>
        <w:t xml:space="preserve">. </w:t>
      </w:r>
      <w:r>
        <w:rPr>
          <w:sz w:val="24"/>
        </w:rPr>
        <w:t>30</w:t>
      </w:r>
      <w:r w:rsidR="004B602C" w:rsidRPr="00043B41">
        <w:rPr>
          <w:sz w:val="24"/>
        </w:rPr>
        <w:t>).</w:t>
      </w:r>
    </w:p>
    <w:p w:rsidR="00043B41" w:rsidRDefault="004E03F0" w:rsidP="00E77872">
      <w:pPr>
        <w:pStyle w:val="Corpodetexto"/>
        <w:spacing w:line="360" w:lineRule="auto"/>
        <w:ind w:firstLine="708"/>
        <w:jc w:val="both"/>
        <w:rPr>
          <w:sz w:val="24"/>
        </w:rPr>
      </w:pPr>
      <w:r w:rsidRPr="00043B41">
        <w:rPr>
          <w:sz w:val="24"/>
        </w:rPr>
        <w:t>A consulente efetua o questionamento a seguir integralmente reproduzido:</w:t>
      </w:r>
    </w:p>
    <w:p w:rsidR="004E03F0" w:rsidRPr="00914CE1" w:rsidRDefault="004E03F0" w:rsidP="00E77872">
      <w:pPr>
        <w:pStyle w:val="Corpodetexto"/>
        <w:spacing w:line="360" w:lineRule="auto"/>
        <w:ind w:firstLine="708"/>
        <w:jc w:val="both"/>
        <w:rPr>
          <w:i/>
          <w:sz w:val="24"/>
        </w:rPr>
      </w:pPr>
      <w:r w:rsidRPr="00914CE1">
        <w:rPr>
          <w:i/>
          <w:sz w:val="24"/>
        </w:rPr>
        <w:t>“Em sua redação original, o artigo 2º, inciso I, alínea “b”, da Lei nº 4.056/2002 previa que o adicional de FECP não incidiria sobre “medicamentos excepcionais previstos na Portaria nº 1318, de 23.07.2002, do Ministério da Saúde, e suas atualizações”.</w:t>
      </w:r>
    </w:p>
    <w:p w:rsidR="004E03F0" w:rsidRPr="00914CE1" w:rsidRDefault="004E03F0" w:rsidP="00E77872">
      <w:pPr>
        <w:pStyle w:val="Corpodetexto"/>
        <w:spacing w:line="360" w:lineRule="auto"/>
        <w:ind w:firstLine="708"/>
        <w:jc w:val="both"/>
        <w:rPr>
          <w:i/>
          <w:sz w:val="24"/>
        </w:rPr>
      </w:pPr>
      <w:r w:rsidRPr="00914CE1">
        <w:rPr>
          <w:i/>
          <w:sz w:val="24"/>
        </w:rPr>
        <w:t>Com a alteração promovida pela LC nº 167/2015, a redação do referido dispositivo continuou a fazer referência aos medicamentos previstos na Portaria nº 1318/2002 e suas atualizações, apesar de este diploma ter sido revogado em momento anterior à edição da LC nº 167/2015.</w:t>
      </w:r>
    </w:p>
    <w:p w:rsidR="004E03F0" w:rsidRPr="00914CE1" w:rsidRDefault="004E03F0" w:rsidP="00E77872">
      <w:pPr>
        <w:pStyle w:val="Corpodetexto"/>
        <w:spacing w:line="360" w:lineRule="auto"/>
        <w:ind w:firstLine="708"/>
        <w:jc w:val="both"/>
        <w:rPr>
          <w:i/>
          <w:sz w:val="24"/>
        </w:rPr>
      </w:pPr>
      <w:r w:rsidRPr="00914CE1">
        <w:rPr>
          <w:i/>
          <w:sz w:val="24"/>
        </w:rPr>
        <w:t>A revogação da Portaria nº 1318/2002 pode gerar dúvidas quanto à listagem de medicamentos que deverá ser adotada para os fins do artigo 2º, inciso I, alínea “b”, da Lei nº 4.056/2002.</w:t>
      </w:r>
    </w:p>
    <w:p w:rsidR="004E03F0" w:rsidRPr="00914CE1" w:rsidRDefault="004E03F0" w:rsidP="00E77872">
      <w:pPr>
        <w:pStyle w:val="Corpodetexto"/>
        <w:spacing w:line="360" w:lineRule="auto"/>
        <w:ind w:firstLine="708"/>
        <w:jc w:val="both"/>
        <w:rPr>
          <w:i/>
          <w:sz w:val="24"/>
        </w:rPr>
      </w:pPr>
      <w:r w:rsidRPr="00914CE1">
        <w:rPr>
          <w:i/>
          <w:sz w:val="24"/>
        </w:rPr>
        <w:t xml:space="preserve">Tendo em vista que a listagem original prevista na Portaria GM/MS nº 1.318/2002 foi transferida, com certas modificações, para as Portarias que a sucederam, a CONSULENTE entende que, mesmo que o artigo 2º, inciso I, alínea “b”, da Lei nº </w:t>
      </w:r>
      <w:r w:rsidRPr="00914CE1">
        <w:rPr>
          <w:i/>
          <w:sz w:val="24"/>
        </w:rPr>
        <w:lastRenderedPageBreak/>
        <w:t>4.056/2002 trate da Portaria GM/MS</w:t>
      </w:r>
      <w:r w:rsidR="00914CE1" w:rsidRPr="00914CE1">
        <w:rPr>
          <w:i/>
          <w:sz w:val="24"/>
        </w:rPr>
        <w:t xml:space="preserve"> nº 1.318/2002 e suas atualizações, deve-se considerar a listagem prevista na Portaria GM/MS nº 1.554/2013, atualmente vigente.</w:t>
      </w:r>
    </w:p>
    <w:p w:rsidR="00914CE1" w:rsidRPr="00914CE1" w:rsidRDefault="00914CE1" w:rsidP="00E77872">
      <w:pPr>
        <w:pStyle w:val="Corpodetexto"/>
        <w:spacing w:line="360" w:lineRule="auto"/>
        <w:ind w:firstLine="708"/>
        <w:jc w:val="both"/>
        <w:rPr>
          <w:i/>
          <w:sz w:val="24"/>
        </w:rPr>
      </w:pPr>
      <w:r w:rsidRPr="00914CE1">
        <w:rPr>
          <w:i/>
          <w:sz w:val="24"/>
        </w:rPr>
        <w:t>Ademais, caso haja alteração da referida Portaria GM/MS nº 1.554/2013 ou mesmo sua revogação, deverá a CONSULENTE considerar a alteração ou mesmo o dispositivo então vigente.</w:t>
      </w:r>
    </w:p>
    <w:p w:rsidR="00914CE1" w:rsidRDefault="00914CE1" w:rsidP="00E77872">
      <w:pPr>
        <w:pStyle w:val="Corpodetexto"/>
        <w:spacing w:line="360" w:lineRule="auto"/>
        <w:ind w:firstLine="708"/>
        <w:jc w:val="both"/>
        <w:rPr>
          <w:sz w:val="24"/>
        </w:rPr>
      </w:pPr>
      <w:r w:rsidRPr="00914CE1">
        <w:rPr>
          <w:i/>
          <w:sz w:val="24"/>
        </w:rPr>
        <w:t>En</w:t>
      </w:r>
      <w:r w:rsidR="00BB5463">
        <w:rPr>
          <w:i/>
          <w:sz w:val="24"/>
        </w:rPr>
        <w:t>tretanto, para que não pairem dú</w:t>
      </w:r>
      <w:r w:rsidRPr="00914CE1">
        <w:rPr>
          <w:i/>
          <w:sz w:val="24"/>
        </w:rPr>
        <w:t>vidas quanto à incidência do adicional ao FECP, a CONSULENTE indaga se o seu entendimento está correto e, em caso negativo, qual seria o diploma legal que atualmente estabeleceria a listagem de medicamentos abrangidos pelo artigo 2º, inciso I, alínea “b”, da Lei nº 4.056/2202, com a redação dada pela  LC nº 167/2015”.</w:t>
      </w:r>
    </w:p>
    <w:p w:rsidR="00AE1534" w:rsidRPr="00AE1534" w:rsidRDefault="00AE1534" w:rsidP="00E77872">
      <w:pPr>
        <w:pStyle w:val="Corpodetexto"/>
        <w:spacing w:line="360" w:lineRule="auto"/>
        <w:ind w:firstLine="708"/>
        <w:jc w:val="both"/>
        <w:rPr>
          <w:sz w:val="24"/>
        </w:rPr>
      </w:pPr>
      <w:r>
        <w:rPr>
          <w:sz w:val="24"/>
        </w:rPr>
        <w:t xml:space="preserve">Tendo em vista que a matéria indicada no questionamento envolve aspectos relacionados à área da saúde, foi sugerido, nos termos contidos nas </w:t>
      </w:r>
      <w:r w:rsidRPr="00AE1534">
        <w:rPr>
          <w:i/>
          <w:sz w:val="24"/>
        </w:rPr>
        <w:t>fls</w:t>
      </w:r>
      <w:r>
        <w:rPr>
          <w:sz w:val="24"/>
        </w:rPr>
        <w:t xml:space="preserve">. 32 a 34, o envio de ofício ao Ministério da Saúde, em especial ao Departamento de Assistência Farmacêutica e Insumos Estratégicos, a fim de obter esclarecimentos a respeito do termo </w:t>
      </w:r>
      <w:r w:rsidRPr="00AE1534">
        <w:rPr>
          <w:i/>
          <w:sz w:val="24"/>
        </w:rPr>
        <w:t>“medicamentos excepcionais”</w:t>
      </w:r>
      <w:r w:rsidR="00D209F1">
        <w:rPr>
          <w:rStyle w:val="Refdenotaderodap"/>
          <w:i/>
          <w:sz w:val="24"/>
        </w:rPr>
        <w:footnoteReference w:id="1"/>
      </w:r>
      <w:r>
        <w:rPr>
          <w:sz w:val="24"/>
        </w:rPr>
        <w:t xml:space="preserve">. Em resposta ao Ofício ST nº 49/2016 (cópia à </w:t>
      </w:r>
      <w:r w:rsidRPr="00AE1534">
        <w:rPr>
          <w:i/>
          <w:sz w:val="24"/>
        </w:rPr>
        <w:t>fl</w:t>
      </w:r>
      <w:r>
        <w:rPr>
          <w:sz w:val="24"/>
        </w:rPr>
        <w:t xml:space="preserve">. 35), o referido Departamento respondeu na forma contida no Ofício nº 4468/2016/DAF/SCTIE/MS (vide </w:t>
      </w:r>
      <w:r w:rsidRPr="00AE1534">
        <w:rPr>
          <w:i/>
          <w:sz w:val="24"/>
        </w:rPr>
        <w:t>fls</w:t>
      </w:r>
      <w:r>
        <w:rPr>
          <w:sz w:val="24"/>
        </w:rPr>
        <w:t>. 36 e 37 (inclusive o verso de ambas)</w:t>
      </w:r>
      <w:r w:rsidR="006B7416">
        <w:rPr>
          <w:sz w:val="24"/>
        </w:rPr>
        <w:t>)</w:t>
      </w:r>
      <w:r>
        <w:rPr>
          <w:sz w:val="24"/>
        </w:rPr>
        <w:t>.</w:t>
      </w:r>
    </w:p>
    <w:p w:rsidR="00E458BA" w:rsidRPr="00043B41" w:rsidRDefault="000E4790" w:rsidP="00E7787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II – ANÁLISE E</w:t>
      </w:r>
      <w:r w:rsidR="003D3B18" w:rsidRPr="00043B41">
        <w:rPr>
          <w:rFonts w:ascii="Times New Roman" w:hAnsi="Times New Roman" w:cs="Times New Roman"/>
          <w:b/>
          <w:sz w:val="24"/>
          <w:szCs w:val="24"/>
        </w:rPr>
        <w:t xml:space="preserve"> </w:t>
      </w:r>
      <w:r w:rsidR="00E458BA" w:rsidRPr="00043B41">
        <w:rPr>
          <w:rFonts w:ascii="Times New Roman" w:hAnsi="Times New Roman" w:cs="Times New Roman"/>
          <w:b/>
          <w:sz w:val="24"/>
          <w:szCs w:val="24"/>
        </w:rPr>
        <w:t>FUNDAMENTAÇÃO</w:t>
      </w:r>
      <w:r w:rsidR="003D3B18" w:rsidRPr="00043B41">
        <w:rPr>
          <w:rFonts w:ascii="Times New Roman" w:hAnsi="Times New Roman" w:cs="Times New Roman"/>
          <w:b/>
          <w:sz w:val="24"/>
          <w:szCs w:val="24"/>
        </w:rPr>
        <w:t xml:space="preserve"> E CONCLUSÃO</w:t>
      </w:r>
    </w:p>
    <w:p w:rsidR="00E77872" w:rsidRDefault="00E77872" w:rsidP="00E77872">
      <w:pPr>
        <w:pStyle w:val="Corpodetexto"/>
        <w:spacing w:line="360" w:lineRule="auto"/>
        <w:ind w:firstLine="708"/>
        <w:jc w:val="both"/>
        <w:rPr>
          <w:sz w:val="24"/>
        </w:rPr>
      </w:pPr>
      <w:r>
        <w:rPr>
          <w:sz w:val="24"/>
        </w:rPr>
        <w:t>Relativamente à resposta apresentada pelo Ministério de Saúde, reputa-se relevante transcrever os seguintes aspectos:</w:t>
      </w:r>
    </w:p>
    <w:p w:rsidR="00E77872" w:rsidRPr="00B544AA" w:rsidRDefault="00D209F1" w:rsidP="00E77872">
      <w:pPr>
        <w:pStyle w:val="Corpodetexto"/>
        <w:numPr>
          <w:ilvl w:val="0"/>
          <w:numId w:val="23"/>
        </w:numPr>
        <w:spacing w:line="360" w:lineRule="auto"/>
        <w:jc w:val="both"/>
        <w:rPr>
          <w:i/>
          <w:sz w:val="20"/>
          <w:szCs w:val="20"/>
        </w:rPr>
      </w:pPr>
      <w:r w:rsidRPr="00B544AA">
        <w:rPr>
          <w:i/>
          <w:sz w:val="20"/>
          <w:szCs w:val="20"/>
        </w:rPr>
        <w:lastRenderedPageBreak/>
        <w:t>“... a Portaria GM/MS nº 1.318/2002 estabeleceu um conjunto de medicamentos que, a partir daquele momento, eram</w:t>
      </w:r>
      <w:r w:rsidR="00602327" w:rsidRPr="00B544AA">
        <w:rPr>
          <w:i/>
          <w:sz w:val="20"/>
          <w:szCs w:val="20"/>
        </w:rPr>
        <w:t xml:space="preserve"> os medicamentos excepcionais. Assim, verifica-se que havia um elenco de medicamentos com critérios explícitos para o seu fornecimento aos usuários do SUS, mas que, conceitualmente, não eram definidos com precisão”.</w:t>
      </w:r>
    </w:p>
    <w:p w:rsidR="00602327" w:rsidRPr="00B544AA" w:rsidRDefault="00602327" w:rsidP="00E77872">
      <w:pPr>
        <w:pStyle w:val="Corpodetexto"/>
        <w:numPr>
          <w:ilvl w:val="0"/>
          <w:numId w:val="23"/>
        </w:numPr>
        <w:spacing w:line="360" w:lineRule="auto"/>
        <w:jc w:val="both"/>
        <w:rPr>
          <w:i/>
          <w:sz w:val="20"/>
          <w:szCs w:val="20"/>
        </w:rPr>
      </w:pPr>
      <w:r w:rsidRPr="00B544AA">
        <w:rPr>
          <w:i/>
          <w:sz w:val="20"/>
          <w:szCs w:val="20"/>
        </w:rPr>
        <w:t>“O conceito sobre a definição de medicamentos excepcionais surgiu a partir da definição do Manual Técnico dos Protocolos Clínicos e Diretrizes Terapêuticas, publicado em 2002. (...). Salienta-se que, até aquele momento, não havia sido publicado um marco regulatório específico sobre o conceito de medicamentos excepcionais, apesar que tais definições, ainda informais, foram importantes para a constituição do Componente de Medicamentos de Dispensação Excepcional”.</w:t>
      </w:r>
    </w:p>
    <w:p w:rsidR="00602327" w:rsidRPr="00B544AA" w:rsidRDefault="00602327" w:rsidP="00E77872">
      <w:pPr>
        <w:pStyle w:val="Corpodetexto"/>
        <w:numPr>
          <w:ilvl w:val="0"/>
          <w:numId w:val="23"/>
        </w:numPr>
        <w:spacing w:line="360" w:lineRule="auto"/>
        <w:jc w:val="both"/>
        <w:rPr>
          <w:i/>
          <w:sz w:val="20"/>
          <w:szCs w:val="20"/>
        </w:rPr>
      </w:pPr>
      <w:r w:rsidRPr="00B544AA">
        <w:rPr>
          <w:i/>
          <w:sz w:val="20"/>
          <w:szCs w:val="20"/>
        </w:rPr>
        <w:t>“Em 2006, o Programa de Medicamentos Excepcionais foi alterado pelo Componente de Medicamentos de Dispensação Excepcional (CMDE) pela Portaria GM/MS nº 2.577 de 27 de outubro de 2006. Essa Portaria marcou a definição do que o SUS entendia por medicamentos excepcionais ou de dispensação excepcional...”</w:t>
      </w:r>
    </w:p>
    <w:p w:rsidR="00602327" w:rsidRPr="00B544AA" w:rsidRDefault="00602327" w:rsidP="00E77872">
      <w:pPr>
        <w:pStyle w:val="Corpodetexto"/>
        <w:numPr>
          <w:ilvl w:val="0"/>
          <w:numId w:val="23"/>
        </w:numPr>
        <w:spacing w:line="360" w:lineRule="auto"/>
        <w:jc w:val="both"/>
        <w:rPr>
          <w:i/>
          <w:sz w:val="20"/>
          <w:szCs w:val="20"/>
        </w:rPr>
      </w:pPr>
      <w:r w:rsidRPr="00B544AA">
        <w:rPr>
          <w:i/>
          <w:sz w:val="20"/>
          <w:szCs w:val="20"/>
        </w:rPr>
        <w:t xml:space="preserve">“Assim, a partir de 2010, o Sistema Único de Saúde </w:t>
      </w:r>
      <w:r w:rsidRPr="00F21BD8">
        <w:rPr>
          <w:i/>
          <w:sz w:val="20"/>
          <w:szCs w:val="20"/>
          <w:u w:val="single"/>
        </w:rPr>
        <w:t>abandonou o conceito de “excepcionalidade” ou de “medicamentos excepcionais”</w:t>
      </w:r>
      <w:r w:rsidRPr="00B544AA">
        <w:rPr>
          <w:i/>
          <w:sz w:val="20"/>
          <w:szCs w:val="20"/>
        </w:rPr>
        <w:t xml:space="preserve">, porque havia o entendimento que o SUS não estava ofertando medicamentos de forma excepcional aos usuários, mas sim por meio de uma Política Pública adequadamente </w:t>
      </w:r>
      <w:r w:rsidR="00B544AA" w:rsidRPr="00B544AA">
        <w:rPr>
          <w:i/>
          <w:sz w:val="20"/>
          <w:szCs w:val="20"/>
        </w:rPr>
        <w:t>estruturada (</w:t>
      </w:r>
      <w:r w:rsidR="00522BC4" w:rsidRPr="00B544AA">
        <w:rPr>
          <w:i/>
          <w:sz w:val="20"/>
          <w:szCs w:val="20"/>
        </w:rPr>
        <w:t>Política Nacional de Assistência Farmacêutica). Dessa forma, o CMDE foi substituído pelo Componente Especializado da Assistência Farmacêutica – CEAF (regulamentado pela Portaria GM/MS nº 2.981/2009 e, posteriormente, pela Portaria GM/MS nº 1.554/2013).</w:t>
      </w:r>
      <w:r w:rsidR="00B544AA" w:rsidRPr="00B544AA">
        <w:rPr>
          <w:i/>
          <w:sz w:val="20"/>
          <w:szCs w:val="20"/>
        </w:rPr>
        <w:t xml:space="preserve"> Assim, para resolver esse problema conceitual e que gerava problemas de gestão, foi utilizada a estratégia de </w:t>
      </w:r>
      <w:r w:rsidR="00B544AA" w:rsidRPr="00F46C19">
        <w:rPr>
          <w:i/>
          <w:sz w:val="20"/>
          <w:szCs w:val="20"/>
          <w:u w:val="single"/>
        </w:rPr>
        <w:t>resgate do princípio da integralidade do SUS</w:t>
      </w:r>
      <w:r w:rsidR="00B544AA" w:rsidRPr="00B544AA">
        <w:rPr>
          <w:i/>
          <w:sz w:val="20"/>
          <w:szCs w:val="20"/>
        </w:rPr>
        <w:t>...”</w:t>
      </w:r>
      <w:r w:rsidR="00F21BD8">
        <w:rPr>
          <w:i/>
          <w:sz w:val="20"/>
          <w:szCs w:val="20"/>
        </w:rPr>
        <w:t xml:space="preserve"> (Grifei)</w:t>
      </w:r>
      <w:r w:rsidR="00B544AA" w:rsidRPr="00B544AA">
        <w:rPr>
          <w:i/>
          <w:sz w:val="20"/>
          <w:szCs w:val="20"/>
        </w:rPr>
        <w:t>.</w:t>
      </w:r>
    </w:p>
    <w:p w:rsidR="00522BC4" w:rsidRPr="00B544AA" w:rsidRDefault="00B544AA" w:rsidP="00E77872">
      <w:pPr>
        <w:pStyle w:val="Corpodetexto"/>
        <w:numPr>
          <w:ilvl w:val="0"/>
          <w:numId w:val="23"/>
        </w:numPr>
        <w:spacing w:line="360" w:lineRule="auto"/>
        <w:jc w:val="both"/>
        <w:rPr>
          <w:i/>
          <w:sz w:val="20"/>
          <w:szCs w:val="20"/>
        </w:rPr>
      </w:pPr>
      <w:r w:rsidRPr="00B544AA">
        <w:rPr>
          <w:i/>
          <w:sz w:val="20"/>
          <w:szCs w:val="20"/>
        </w:rPr>
        <w:t xml:space="preserve">“Na substituição do CMDE pelo CEAF </w:t>
      </w:r>
      <w:r w:rsidRPr="00F21BD8">
        <w:rPr>
          <w:i/>
          <w:sz w:val="20"/>
          <w:szCs w:val="20"/>
          <w:u w:val="single"/>
        </w:rPr>
        <w:t>foi revisado todo o elenco de medicamentos, havendo inclusões e exclusões de medicamentos visando a busca da garantia do tratamento das doenças tratadas</w:t>
      </w:r>
      <w:r w:rsidRPr="00B544AA">
        <w:rPr>
          <w:i/>
          <w:sz w:val="20"/>
          <w:szCs w:val="20"/>
        </w:rPr>
        <w:t xml:space="preserve"> e alguns medicamentos foram realocados para o Componente Básico da Assistência Farmacêutica. Além disso, foi instituído um Grupo específico de medicamentos (medicamentos do Grupo 3 do CEAF) que são financiados no âmbito do Componente Básico da Assistência Farmacêutica mas são fundamentais para o tratamento das doenças tratadas no CEAF”</w:t>
      </w:r>
      <w:r w:rsidR="00F21BD8">
        <w:rPr>
          <w:i/>
          <w:sz w:val="20"/>
          <w:szCs w:val="20"/>
        </w:rPr>
        <w:t xml:space="preserve"> (Grifei)</w:t>
      </w:r>
      <w:r w:rsidRPr="00B544AA">
        <w:rPr>
          <w:i/>
          <w:sz w:val="20"/>
          <w:szCs w:val="20"/>
        </w:rPr>
        <w:t>.</w:t>
      </w:r>
    </w:p>
    <w:p w:rsidR="00B544AA" w:rsidRPr="00B544AA" w:rsidRDefault="00B544AA" w:rsidP="00E77872">
      <w:pPr>
        <w:pStyle w:val="Corpodetexto"/>
        <w:numPr>
          <w:ilvl w:val="0"/>
          <w:numId w:val="23"/>
        </w:numPr>
        <w:spacing w:line="360" w:lineRule="auto"/>
        <w:jc w:val="both"/>
        <w:rPr>
          <w:i/>
          <w:sz w:val="20"/>
          <w:szCs w:val="20"/>
        </w:rPr>
      </w:pPr>
      <w:r w:rsidRPr="00B544AA">
        <w:rPr>
          <w:i/>
          <w:sz w:val="20"/>
          <w:szCs w:val="20"/>
        </w:rPr>
        <w:t xml:space="preserve">Dessa forma, conclui-se que </w:t>
      </w:r>
      <w:r w:rsidRPr="00F21BD8">
        <w:rPr>
          <w:i/>
          <w:sz w:val="20"/>
          <w:szCs w:val="20"/>
          <w:u w:val="single"/>
        </w:rPr>
        <w:t>desde 2010 não há mais um elenco de “medicamentos excepcionais” no âmbito do SUS</w:t>
      </w:r>
      <w:r w:rsidRPr="00B544AA">
        <w:rPr>
          <w:i/>
          <w:sz w:val="20"/>
          <w:szCs w:val="20"/>
        </w:rPr>
        <w:t xml:space="preserve">. Considerando rodas as limitações pertinentes referentes a mudanças de conceitos, medicamentos e doenças tratadas no período de 2002 a 2016, pode-se conferir que a maioria do elenco descrito na Portaria GM/MS nº 1.318/2002 continua padronizado no SUS nos Grupos 1 e 2 do CEAF (de acordo com a Portaria GM/MS nº 1.554/2013). A partir das informações técnicas apresentadas, </w:t>
      </w:r>
      <w:r w:rsidRPr="00F21BD8">
        <w:rPr>
          <w:i/>
          <w:sz w:val="20"/>
          <w:szCs w:val="20"/>
          <w:u w:val="single"/>
        </w:rPr>
        <w:t>sugere-se, respeitosamente, que a legislação local que emprega a expressão “medicamentos excepcionais” seja atualizada</w:t>
      </w:r>
      <w:r w:rsidRPr="00B544AA">
        <w:rPr>
          <w:i/>
          <w:sz w:val="20"/>
          <w:szCs w:val="20"/>
        </w:rPr>
        <w:t xml:space="preserve"> considerando a atual conformação e conceitos que organizam e definem a Assistência </w:t>
      </w:r>
      <w:r w:rsidRPr="00B544AA">
        <w:rPr>
          <w:i/>
          <w:sz w:val="20"/>
          <w:szCs w:val="20"/>
        </w:rPr>
        <w:lastRenderedPageBreak/>
        <w:t>Farmacêutica no âmbito do SUS”</w:t>
      </w:r>
      <w:r w:rsidR="00F21BD8">
        <w:rPr>
          <w:i/>
          <w:sz w:val="20"/>
          <w:szCs w:val="20"/>
        </w:rPr>
        <w:t xml:space="preserve"> (Grifei)</w:t>
      </w:r>
      <w:r w:rsidRPr="00B544AA">
        <w:rPr>
          <w:i/>
          <w:sz w:val="20"/>
          <w:szCs w:val="20"/>
        </w:rPr>
        <w:t>.</w:t>
      </w:r>
    </w:p>
    <w:p w:rsidR="00150C0A" w:rsidRDefault="00150C0A" w:rsidP="00E77872">
      <w:pPr>
        <w:pStyle w:val="Corpodetexto"/>
        <w:spacing w:line="360" w:lineRule="auto"/>
        <w:ind w:firstLine="708"/>
        <w:jc w:val="both"/>
        <w:rPr>
          <w:sz w:val="24"/>
        </w:rPr>
      </w:pPr>
    </w:p>
    <w:p w:rsidR="00150C0A" w:rsidRDefault="00150C0A" w:rsidP="008B0B34">
      <w:pPr>
        <w:pStyle w:val="Corpodetexto"/>
        <w:spacing w:line="360" w:lineRule="auto"/>
        <w:ind w:firstLine="708"/>
        <w:jc w:val="both"/>
        <w:rPr>
          <w:sz w:val="24"/>
        </w:rPr>
      </w:pPr>
      <w:r>
        <w:rPr>
          <w:sz w:val="24"/>
        </w:rPr>
        <w:t xml:space="preserve">Transcritas estas considerações, parece-me evidente, numa primeira leitura, que o termo empregado na legislação estadual fluminense, qual seja, </w:t>
      </w:r>
      <w:r w:rsidRPr="00150C0A">
        <w:rPr>
          <w:i/>
          <w:sz w:val="24"/>
        </w:rPr>
        <w:t>“medicamentos excepcionais”</w:t>
      </w:r>
      <w:r>
        <w:rPr>
          <w:sz w:val="24"/>
        </w:rPr>
        <w:t xml:space="preserve"> (ou</w:t>
      </w:r>
      <w:r w:rsidR="00AB2E68">
        <w:rPr>
          <w:sz w:val="24"/>
        </w:rPr>
        <w:t>, em outras palavras,</w:t>
      </w:r>
      <w:r>
        <w:rPr>
          <w:sz w:val="24"/>
        </w:rPr>
        <w:t xml:space="preserve"> </w:t>
      </w:r>
      <w:r w:rsidRPr="00150C0A">
        <w:rPr>
          <w:i/>
          <w:sz w:val="24"/>
        </w:rPr>
        <w:t>“medicamentos de dispensação excepcional”</w:t>
      </w:r>
      <w:r>
        <w:rPr>
          <w:sz w:val="24"/>
        </w:rPr>
        <w:t xml:space="preserve">, haja vista </w:t>
      </w:r>
      <w:r w:rsidR="00AB2E68">
        <w:rPr>
          <w:sz w:val="24"/>
        </w:rPr>
        <w:t xml:space="preserve">sua </w:t>
      </w:r>
      <w:r>
        <w:rPr>
          <w:sz w:val="24"/>
        </w:rPr>
        <w:t xml:space="preserve">semelhança conceitual), não corresponde à atual abrangência referida no Componente Especializado de Assistência Farmacêutica – CEAF (regulamentado pela Portaria GM/MS nº 2.981/2009 e, posteriormente, pela Portaria GM/MS nº 1.554/2013). </w:t>
      </w:r>
      <w:r w:rsidR="007B2757">
        <w:rPr>
          <w:sz w:val="24"/>
        </w:rPr>
        <w:t xml:space="preserve">Houve, como observado, </w:t>
      </w:r>
      <w:r w:rsidR="007B2757" w:rsidRPr="007B2757">
        <w:rPr>
          <w:i/>
          <w:sz w:val="24"/>
        </w:rPr>
        <w:t>“mudanças de conceito, medicamentos e doenças tratadas no período de 2002 a 2016”</w:t>
      </w:r>
      <w:r w:rsidR="007B2757">
        <w:rPr>
          <w:sz w:val="24"/>
        </w:rPr>
        <w:t>.</w:t>
      </w:r>
    </w:p>
    <w:p w:rsidR="00CF1C7C" w:rsidRDefault="007C29B4" w:rsidP="007C29B4">
      <w:pPr>
        <w:pStyle w:val="Corpodetexto"/>
        <w:spacing w:line="360" w:lineRule="auto"/>
        <w:ind w:firstLine="708"/>
        <w:jc w:val="both"/>
        <w:rPr>
          <w:sz w:val="24"/>
        </w:rPr>
      </w:pPr>
      <w:r>
        <w:rPr>
          <w:sz w:val="24"/>
        </w:rPr>
        <w:t xml:space="preserve">Dessa forma, o sentido e alcance da previsão normativa instituída pelos artigos </w:t>
      </w:r>
      <w:r w:rsidR="0061518A">
        <w:rPr>
          <w:sz w:val="24"/>
        </w:rPr>
        <w:t xml:space="preserve">2º, I, “b”, da Lei nº 4.056/2002 e 2º, I, “b”, do Decreto nº 33.123/2003 </w:t>
      </w:r>
      <w:r>
        <w:rPr>
          <w:sz w:val="24"/>
        </w:rPr>
        <w:t>não corresponde</w:t>
      </w:r>
      <w:r w:rsidR="00191E1E">
        <w:rPr>
          <w:sz w:val="24"/>
        </w:rPr>
        <w:t xml:space="preserve">, </w:t>
      </w:r>
      <w:r w:rsidR="00191E1E" w:rsidRPr="00191E1E">
        <w:rPr>
          <w:i/>
          <w:sz w:val="24"/>
        </w:rPr>
        <w:t>s.m.j.</w:t>
      </w:r>
      <w:r w:rsidR="00191E1E">
        <w:rPr>
          <w:sz w:val="24"/>
        </w:rPr>
        <w:t>,</w:t>
      </w:r>
      <w:r>
        <w:rPr>
          <w:sz w:val="24"/>
        </w:rPr>
        <w:t xml:space="preserve"> à atual abrangência referida no Componente Especializado de Assistência Farmacêutica – CEAF, restando </w:t>
      </w:r>
      <w:r w:rsidR="00720260">
        <w:rPr>
          <w:sz w:val="24"/>
        </w:rPr>
        <w:t xml:space="preserve">prudente e </w:t>
      </w:r>
      <w:r>
        <w:rPr>
          <w:sz w:val="24"/>
        </w:rPr>
        <w:t>necessária</w:t>
      </w:r>
      <w:r w:rsidR="00D60BB9">
        <w:rPr>
          <w:sz w:val="24"/>
        </w:rPr>
        <w:t>,</w:t>
      </w:r>
      <w:r>
        <w:rPr>
          <w:sz w:val="24"/>
        </w:rPr>
        <w:t xml:space="preserve"> ainda</w:t>
      </w:r>
      <w:r w:rsidR="00D60BB9">
        <w:rPr>
          <w:sz w:val="24"/>
        </w:rPr>
        <w:t>,</w:t>
      </w:r>
      <w:r>
        <w:rPr>
          <w:sz w:val="24"/>
        </w:rPr>
        <w:t xml:space="preserve"> </w:t>
      </w:r>
      <w:r w:rsidR="00D01ED4">
        <w:rPr>
          <w:sz w:val="24"/>
        </w:rPr>
        <w:t xml:space="preserve">(1) </w:t>
      </w:r>
      <w:r>
        <w:rPr>
          <w:sz w:val="24"/>
        </w:rPr>
        <w:t xml:space="preserve">a </w:t>
      </w:r>
      <w:r w:rsidR="00946CB3">
        <w:rPr>
          <w:sz w:val="24"/>
        </w:rPr>
        <w:t xml:space="preserve">avaliação a respeito de outras normas que </w:t>
      </w:r>
      <w:r w:rsidR="00415826">
        <w:rPr>
          <w:sz w:val="24"/>
        </w:rPr>
        <w:t>versam</w:t>
      </w:r>
      <w:r w:rsidR="00946CB3">
        <w:rPr>
          <w:sz w:val="24"/>
        </w:rPr>
        <w:t xml:space="preserve"> sobre o assunto,</w:t>
      </w:r>
      <w:r w:rsidR="00946CB3" w:rsidRPr="00946CB3">
        <w:rPr>
          <w:sz w:val="24"/>
        </w:rPr>
        <w:t xml:space="preserve"> </w:t>
      </w:r>
      <w:r w:rsidR="00946CB3">
        <w:rPr>
          <w:sz w:val="24"/>
        </w:rPr>
        <w:t xml:space="preserve">bem como </w:t>
      </w:r>
      <w:r w:rsidR="00D01ED4">
        <w:rPr>
          <w:sz w:val="24"/>
        </w:rPr>
        <w:t xml:space="preserve">(2) </w:t>
      </w:r>
      <w:r w:rsidR="00946CB3">
        <w:rPr>
          <w:sz w:val="24"/>
        </w:rPr>
        <w:t>a i</w:t>
      </w:r>
      <w:r>
        <w:rPr>
          <w:sz w:val="24"/>
        </w:rPr>
        <w:t xml:space="preserve">dentificação exata do rol de medicamentos que estão sujeitos à </w:t>
      </w:r>
      <w:proofErr w:type="spellStart"/>
      <w:r>
        <w:rPr>
          <w:sz w:val="24"/>
        </w:rPr>
        <w:t>initributabilidade</w:t>
      </w:r>
      <w:proofErr w:type="spellEnd"/>
      <w:r>
        <w:rPr>
          <w:sz w:val="24"/>
        </w:rPr>
        <w:t xml:space="preserve"> prevista na legislação estadual fluminense</w:t>
      </w:r>
      <w:r w:rsidR="00946CB3">
        <w:rPr>
          <w:sz w:val="24"/>
        </w:rPr>
        <w:t>.</w:t>
      </w:r>
    </w:p>
    <w:p w:rsidR="00CF1C7C" w:rsidRDefault="00924332" w:rsidP="00924332">
      <w:pPr>
        <w:pStyle w:val="Corpodetexto"/>
        <w:spacing w:line="360" w:lineRule="auto"/>
        <w:ind w:firstLine="708"/>
        <w:jc w:val="both"/>
        <w:rPr>
          <w:sz w:val="24"/>
        </w:rPr>
      </w:pPr>
      <w:r>
        <w:rPr>
          <w:sz w:val="24"/>
        </w:rPr>
        <w:t>Como citado antes, o F</w:t>
      </w:r>
      <w:r w:rsidRPr="00924332">
        <w:rPr>
          <w:sz w:val="24"/>
        </w:rPr>
        <w:t xml:space="preserve">undo </w:t>
      </w:r>
      <w:r>
        <w:rPr>
          <w:sz w:val="24"/>
        </w:rPr>
        <w:t>E</w:t>
      </w:r>
      <w:r w:rsidRPr="00924332">
        <w:rPr>
          <w:sz w:val="24"/>
        </w:rPr>
        <w:t xml:space="preserve">stadual de Combate à Pobreza e às Desigualdades Sociais </w:t>
      </w:r>
      <w:r w:rsidR="002714DD">
        <w:rPr>
          <w:sz w:val="24"/>
        </w:rPr>
        <w:t xml:space="preserve">– FECP </w:t>
      </w:r>
      <w:r w:rsidR="00FC1BD4">
        <w:rPr>
          <w:sz w:val="24"/>
        </w:rPr>
        <w:t xml:space="preserve">(previsto na Emenda Constitucional nº 31/2000) </w:t>
      </w:r>
      <w:r>
        <w:rPr>
          <w:sz w:val="24"/>
        </w:rPr>
        <w:t xml:space="preserve">foi instituído neste Estado a partir da edição da Lei nº 4.056/2002 e conseguinte Decreto nº 33.123/2003. </w:t>
      </w:r>
      <w:r w:rsidR="004F46C3">
        <w:rPr>
          <w:sz w:val="24"/>
        </w:rPr>
        <w:t xml:space="preserve">A referida Lei, observe-se, foi objeto de alteração </w:t>
      </w:r>
      <w:r w:rsidR="004F46C3" w:rsidRPr="000A1254">
        <w:rPr>
          <w:sz w:val="24"/>
          <w:u w:val="single"/>
        </w:rPr>
        <w:t>em 2015</w:t>
      </w:r>
      <w:r w:rsidR="004F46C3">
        <w:rPr>
          <w:sz w:val="24"/>
        </w:rPr>
        <w:t xml:space="preserve">, por intermédio da Lei Complementar nº 167/2015, momento que foi conferida a seguinte redação </w:t>
      </w:r>
      <w:r w:rsidR="003A5B06">
        <w:rPr>
          <w:sz w:val="24"/>
        </w:rPr>
        <w:t>ao artigo 2º, I, “b”, da Lei nº 4.056/2002:</w:t>
      </w:r>
    </w:p>
    <w:p w:rsidR="003A5B06" w:rsidRPr="00EF7310" w:rsidRDefault="00EF7310" w:rsidP="00EF7310">
      <w:pPr>
        <w:pStyle w:val="Corpodetexto"/>
        <w:spacing w:line="360" w:lineRule="auto"/>
        <w:ind w:left="1134"/>
        <w:jc w:val="both"/>
        <w:rPr>
          <w:i/>
          <w:sz w:val="20"/>
          <w:szCs w:val="20"/>
        </w:rPr>
      </w:pPr>
      <w:r>
        <w:rPr>
          <w:i/>
          <w:sz w:val="20"/>
          <w:szCs w:val="20"/>
        </w:rPr>
        <w:t>“</w:t>
      </w:r>
      <w:r w:rsidR="003A5B06" w:rsidRPr="00EF7310">
        <w:rPr>
          <w:i/>
          <w:sz w:val="20"/>
          <w:szCs w:val="20"/>
        </w:rPr>
        <w:t>Art. 1º - O Art. 2º da Lei nº 4.056, de 30 de dezembro de 2002, passa a vigorar com a seguinte redação:</w:t>
      </w:r>
    </w:p>
    <w:p w:rsidR="003A5B06" w:rsidRPr="00EF7310" w:rsidRDefault="003A5B06" w:rsidP="00EF7310">
      <w:pPr>
        <w:pStyle w:val="Corpodetexto"/>
        <w:spacing w:line="360" w:lineRule="auto"/>
        <w:ind w:left="1134"/>
        <w:jc w:val="both"/>
        <w:rPr>
          <w:i/>
          <w:sz w:val="20"/>
          <w:szCs w:val="20"/>
        </w:rPr>
      </w:pPr>
      <w:r w:rsidRPr="00EF7310">
        <w:rPr>
          <w:i/>
          <w:sz w:val="20"/>
          <w:szCs w:val="20"/>
        </w:rPr>
        <w:t>Art. 2º (...)</w:t>
      </w:r>
    </w:p>
    <w:p w:rsidR="003A5B06" w:rsidRPr="00EF7310" w:rsidRDefault="003A5B06" w:rsidP="00EF7310">
      <w:pPr>
        <w:pStyle w:val="Corpodetexto"/>
        <w:spacing w:line="360" w:lineRule="auto"/>
        <w:ind w:left="1134"/>
        <w:jc w:val="both"/>
        <w:rPr>
          <w:i/>
          <w:sz w:val="20"/>
          <w:szCs w:val="20"/>
        </w:rPr>
      </w:pPr>
      <w:r w:rsidRPr="00EF7310">
        <w:rPr>
          <w:i/>
          <w:sz w:val="20"/>
          <w:szCs w:val="20"/>
        </w:rPr>
        <w:t>I - o produto da arrecadação adicional de dois pontos percentuais correspondentes a um adicional geral da alíquota atualmente vigente do Imposto sobre Operações relativas à Circulação de Mercadorias e sobre Prestação de Serviços de Transporte Interestadual e Intermunicipal e de Comunicação – ICMS, ou do imposto que vier a substituí-lo, com exceção: (NR)</w:t>
      </w:r>
    </w:p>
    <w:p w:rsidR="003A5B06" w:rsidRPr="00EF7310" w:rsidRDefault="003A5B06" w:rsidP="00EF7310">
      <w:pPr>
        <w:pStyle w:val="Corpodetexto"/>
        <w:spacing w:line="360" w:lineRule="auto"/>
        <w:ind w:left="1134"/>
        <w:jc w:val="both"/>
        <w:rPr>
          <w:i/>
          <w:sz w:val="20"/>
          <w:szCs w:val="20"/>
        </w:rPr>
      </w:pPr>
      <w:r w:rsidRPr="00EF7310">
        <w:rPr>
          <w:i/>
          <w:sz w:val="20"/>
          <w:szCs w:val="20"/>
        </w:rPr>
        <w:t>a) dos gêneros que compõem a Cesta Básica, assim definidos aqueles estabelecidos em estudo da Fundação Getúlio Vargas e em Lei estadual específica;</w:t>
      </w:r>
    </w:p>
    <w:p w:rsidR="003A5B06" w:rsidRPr="00EF7310" w:rsidRDefault="003A5B06" w:rsidP="00EF7310">
      <w:pPr>
        <w:pStyle w:val="Corpodetexto"/>
        <w:spacing w:line="360" w:lineRule="auto"/>
        <w:ind w:left="1134"/>
        <w:jc w:val="both"/>
        <w:rPr>
          <w:i/>
          <w:sz w:val="20"/>
          <w:szCs w:val="20"/>
        </w:rPr>
      </w:pPr>
      <w:r w:rsidRPr="00EF7310">
        <w:rPr>
          <w:i/>
          <w:sz w:val="20"/>
          <w:szCs w:val="20"/>
        </w:rPr>
        <w:t>b) dos Medicamentos Excepcionais previstos na Portaria nº 1318, de 23/07/2002, do Ministério da Saúde, e suas atualizações e em Lei estadual específica;</w:t>
      </w:r>
      <w:r w:rsidR="00102808">
        <w:rPr>
          <w:i/>
          <w:sz w:val="20"/>
          <w:szCs w:val="20"/>
        </w:rPr>
        <w:t xml:space="preserve"> </w:t>
      </w:r>
      <w:r w:rsidRPr="00EF7310">
        <w:rPr>
          <w:i/>
          <w:sz w:val="20"/>
          <w:szCs w:val="20"/>
        </w:rPr>
        <w:t>(...).”</w:t>
      </w:r>
      <w:r w:rsidR="00EF7310">
        <w:rPr>
          <w:i/>
          <w:sz w:val="20"/>
          <w:szCs w:val="20"/>
        </w:rPr>
        <w:t>.</w:t>
      </w:r>
    </w:p>
    <w:p w:rsidR="00B76A02" w:rsidRDefault="003116DC" w:rsidP="007C29B4">
      <w:pPr>
        <w:pStyle w:val="Corpodetexto"/>
        <w:spacing w:line="360" w:lineRule="auto"/>
        <w:ind w:firstLine="708"/>
        <w:jc w:val="both"/>
        <w:rPr>
          <w:sz w:val="24"/>
        </w:rPr>
      </w:pPr>
      <w:r>
        <w:rPr>
          <w:sz w:val="24"/>
        </w:rPr>
        <w:lastRenderedPageBreak/>
        <w:t xml:space="preserve">Nesta oportunidade, optou o legislador por manter a estrutura do artigo 2º, I, “b”, da Lei nº 4.056/2002, acrescentando apenas a expressão </w:t>
      </w:r>
      <w:r w:rsidRPr="003116DC">
        <w:rPr>
          <w:i/>
          <w:sz w:val="24"/>
        </w:rPr>
        <w:t>“e em Lei estadual específica”</w:t>
      </w:r>
      <w:r>
        <w:rPr>
          <w:sz w:val="24"/>
        </w:rPr>
        <w:t>.</w:t>
      </w:r>
      <w:r w:rsidR="00DD2BFA">
        <w:rPr>
          <w:sz w:val="24"/>
        </w:rPr>
        <w:t xml:space="preserve"> </w:t>
      </w:r>
      <w:r w:rsidR="00073ED1">
        <w:rPr>
          <w:sz w:val="24"/>
        </w:rPr>
        <w:t xml:space="preserve">Note-se que não apenas a indicação à </w:t>
      </w:r>
      <w:r w:rsidR="00073ED1" w:rsidRPr="00073ED1">
        <w:rPr>
          <w:i/>
          <w:sz w:val="24"/>
        </w:rPr>
        <w:t>“Portaria nº 1318, de 23/07/2002, do Ministério da Saúde, e suas atualizações”</w:t>
      </w:r>
      <w:r w:rsidR="00073ED1">
        <w:rPr>
          <w:sz w:val="24"/>
        </w:rPr>
        <w:t xml:space="preserve"> foi mantida, mas também, e principalmente, </w:t>
      </w:r>
      <w:r w:rsidR="006D6607">
        <w:rPr>
          <w:sz w:val="24"/>
        </w:rPr>
        <w:t xml:space="preserve">preservou-se </w:t>
      </w:r>
      <w:r w:rsidR="00AA2A8D" w:rsidRPr="00FF70C3">
        <w:rPr>
          <w:sz w:val="24"/>
        </w:rPr>
        <w:t>o comando d</w:t>
      </w:r>
      <w:r w:rsidR="00EE0F5A" w:rsidRPr="00FF70C3">
        <w:rPr>
          <w:sz w:val="24"/>
        </w:rPr>
        <w:t>a proposição</w:t>
      </w:r>
      <w:r w:rsidR="00257A5A">
        <w:rPr>
          <w:sz w:val="24"/>
        </w:rPr>
        <w:t xml:space="preserve">, ou seja, restou preservada </w:t>
      </w:r>
      <w:r w:rsidR="00C72894">
        <w:rPr>
          <w:sz w:val="24"/>
        </w:rPr>
        <w:t xml:space="preserve">a indicação de </w:t>
      </w:r>
      <w:r w:rsidR="00257A5A">
        <w:rPr>
          <w:sz w:val="24"/>
        </w:rPr>
        <w:t xml:space="preserve">que a norma que afasta a tributação se destina aos denominados </w:t>
      </w:r>
      <w:r w:rsidR="00257A5A" w:rsidRPr="00257A5A">
        <w:rPr>
          <w:i/>
          <w:sz w:val="24"/>
        </w:rPr>
        <w:t>“medicamentos excepcionais”</w:t>
      </w:r>
      <w:r w:rsidR="00257A5A">
        <w:rPr>
          <w:sz w:val="24"/>
        </w:rPr>
        <w:t>.</w:t>
      </w:r>
    </w:p>
    <w:p w:rsidR="00B76A02" w:rsidRDefault="00BA5F46" w:rsidP="007C29B4">
      <w:pPr>
        <w:pStyle w:val="Corpodetexto"/>
        <w:spacing w:line="360" w:lineRule="auto"/>
        <w:ind w:firstLine="708"/>
        <w:jc w:val="both"/>
        <w:rPr>
          <w:sz w:val="24"/>
        </w:rPr>
      </w:pPr>
      <w:r>
        <w:rPr>
          <w:sz w:val="24"/>
        </w:rPr>
        <w:t xml:space="preserve">Em contraposição ao raciocínio até o momento desenvolvido, existe a proposição normativa contida no </w:t>
      </w:r>
      <w:r w:rsidR="00155C4F">
        <w:rPr>
          <w:sz w:val="24"/>
        </w:rPr>
        <w:t>artigo 14-A do Livro I do RICMS/00</w:t>
      </w:r>
      <w:r w:rsidR="00155C4F">
        <w:rPr>
          <w:rStyle w:val="Refdenotaderodap"/>
          <w:sz w:val="24"/>
        </w:rPr>
        <w:footnoteReference w:id="2"/>
      </w:r>
      <w:r>
        <w:rPr>
          <w:sz w:val="24"/>
        </w:rPr>
        <w:t xml:space="preserve">, recentemente acrescido ao Regulamento fluminense por intermédio </w:t>
      </w:r>
      <w:r w:rsidR="00155C4F">
        <w:rPr>
          <w:sz w:val="24"/>
        </w:rPr>
        <w:t>do Decreto nº 45.611/2016, com efeitos a contar de 28 de março de 2016.</w:t>
      </w:r>
      <w:r w:rsidR="00C56E2F">
        <w:rPr>
          <w:sz w:val="24"/>
        </w:rPr>
        <w:t xml:space="preserve"> O referido ato </w:t>
      </w:r>
      <w:r w:rsidR="00DA4342">
        <w:rPr>
          <w:sz w:val="24"/>
        </w:rPr>
        <w:t xml:space="preserve">normativo, </w:t>
      </w:r>
      <w:r w:rsidR="00DA4342" w:rsidRPr="00DA4342">
        <w:rPr>
          <w:i/>
          <w:sz w:val="24"/>
        </w:rPr>
        <w:t>s.m.j.</w:t>
      </w:r>
      <w:r w:rsidR="00DA4342">
        <w:rPr>
          <w:sz w:val="24"/>
        </w:rPr>
        <w:t>, em observância ao disposto no artigo 8º da Lei nº 4.056/2002</w:t>
      </w:r>
      <w:r w:rsidR="00DA4342">
        <w:rPr>
          <w:rStyle w:val="Refdenotaderodap"/>
          <w:sz w:val="24"/>
        </w:rPr>
        <w:footnoteReference w:id="3"/>
      </w:r>
      <w:r w:rsidR="00DA4342">
        <w:rPr>
          <w:sz w:val="24"/>
        </w:rPr>
        <w:t xml:space="preserve">, e não obstante a existência do Decreto nº 33.123/2003, </w:t>
      </w:r>
      <w:r w:rsidR="002714DD">
        <w:rPr>
          <w:sz w:val="24"/>
        </w:rPr>
        <w:t xml:space="preserve">dispõe sobre o FECP, oportunidade que, </w:t>
      </w:r>
      <w:r w:rsidR="002714DD" w:rsidRPr="002714DD">
        <w:rPr>
          <w:i/>
          <w:sz w:val="24"/>
        </w:rPr>
        <w:t>p.ex.</w:t>
      </w:r>
      <w:r w:rsidR="002714DD">
        <w:rPr>
          <w:sz w:val="24"/>
        </w:rPr>
        <w:t xml:space="preserve">, indica, em substituição à </w:t>
      </w:r>
      <w:r w:rsidR="002714DD" w:rsidRPr="002714DD">
        <w:rPr>
          <w:sz w:val="24"/>
        </w:rPr>
        <w:t xml:space="preserve">Portaria </w:t>
      </w:r>
      <w:r w:rsidR="00E75159">
        <w:rPr>
          <w:sz w:val="24"/>
        </w:rPr>
        <w:t>GM/MS</w:t>
      </w:r>
      <w:r w:rsidR="00E75159" w:rsidRPr="006E2B09">
        <w:rPr>
          <w:sz w:val="24"/>
        </w:rPr>
        <w:t xml:space="preserve"> </w:t>
      </w:r>
      <w:r w:rsidR="002714DD" w:rsidRPr="002714DD">
        <w:rPr>
          <w:sz w:val="24"/>
        </w:rPr>
        <w:t>nº 1</w:t>
      </w:r>
      <w:r w:rsidR="002714DD">
        <w:rPr>
          <w:sz w:val="24"/>
        </w:rPr>
        <w:t>.</w:t>
      </w:r>
      <w:r w:rsidR="002714DD" w:rsidRPr="002714DD">
        <w:rPr>
          <w:sz w:val="24"/>
        </w:rPr>
        <w:t>318</w:t>
      </w:r>
      <w:r w:rsidR="002714DD">
        <w:rPr>
          <w:sz w:val="24"/>
        </w:rPr>
        <w:t xml:space="preserve">/2002, a </w:t>
      </w:r>
      <w:r w:rsidR="002714DD" w:rsidRPr="002714DD">
        <w:rPr>
          <w:i/>
          <w:sz w:val="24"/>
        </w:rPr>
        <w:t>“Portaria nº 1.554, de 30 de julho de 2013, do Ministério da Saúde”</w:t>
      </w:r>
      <w:r w:rsidR="002714DD">
        <w:rPr>
          <w:sz w:val="24"/>
        </w:rPr>
        <w:t xml:space="preserve"> e </w:t>
      </w:r>
      <w:r w:rsidR="00076119">
        <w:rPr>
          <w:sz w:val="24"/>
        </w:rPr>
        <w:t xml:space="preserve">revela os materiais escolares </w:t>
      </w:r>
      <w:r w:rsidR="00C0068D">
        <w:rPr>
          <w:sz w:val="24"/>
        </w:rPr>
        <w:t>não sujeitos ao FECP</w:t>
      </w:r>
      <w:r w:rsidR="0013137F">
        <w:rPr>
          <w:sz w:val="24"/>
        </w:rPr>
        <w:t xml:space="preserve">, </w:t>
      </w:r>
      <w:r w:rsidR="00C0068D">
        <w:rPr>
          <w:sz w:val="24"/>
        </w:rPr>
        <w:t>quais sejam:</w:t>
      </w:r>
      <w:r w:rsidR="0013137F">
        <w:rPr>
          <w:sz w:val="24"/>
        </w:rPr>
        <w:t xml:space="preserve"> aqueles </w:t>
      </w:r>
      <w:r w:rsidR="0013137F" w:rsidRPr="0013137F">
        <w:rPr>
          <w:i/>
          <w:sz w:val="24"/>
        </w:rPr>
        <w:t>“listados no anexo ao Decreto n.º 36.376, de 18 de outubro de 2004”</w:t>
      </w:r>
      <w:r w:rsidR="0013137F">
        <w:rPr>
          <w:sz w:val="24"/>
        </w:rPr>
        <w:t>.</w:t>
      </w:r>
      <w:r w:rsidR="006B2C45">
        <w:rPr>
          <w:sz w:val="24"/>
        </w:rPr>
        <w:t xml:space="preserve"> </w:t>
      </w:r>
      <w:r w:rsidR="002714DD">
        <w:rPr>
          <w:sz w:val="24"/>
        </w:rPr>
        <w:t xml:space="preserve"> </w:t>
      </w:r>
    </w:p>
    <w:p w:rsidR="00EC7D11" w:rsidRDefault="006E2B09" w:rsidP="007C29B4">
      <w:pPr>
        <w:pStyle w:val="Corpodetexto"/>
        <w:spacing w:line="360" w:lineRule="auto"/>
        <w:ind w:firstLine="708"/>
        <w:jc w:val="both"/>
        <w:rPr>
          <w:sz w:val="24"/>
        </w:rPr>
      </w:pPr>
      <w:r>
        <w:rPr>
          <w:sz w:val="24"/>
        </w:rPr>
        <w:t xml:space="preserve">Ocorre, entretanto, que, diferentemente </w:t>
      </w:r>
      <w:r w:rsidR="00D72FE2">
        <w:rPr>
          <w:sz w:val="24"/>
        </w:rPr>
        <w:t xml:space="preserve">da menção ao Decreto nº 36.376/2004 – que regulamenta e afasta a subjetividade da expressão </w:t>
      </w:r>
      <w:r w:rsidR="00D72FE2" w:rsidRPr="00D72FE2">
        <w:rPr>
          <w:i/>
          <w:sz w:val="24"/>
        </w:rPr>
        <w:t>“materiais escolares”</w:t>
      </w:r>
      <w:r>
        <w:rPr>
          <w:sz w:val="24"/>
        </w:rPr>
        <w:t xml:space="preserve">, a indicação da </w:t>
      </w:r>
      <w:r w:rsidRPr="006E2B09">
        <w:rPr>
          <w:sz w:val="24"/>
        </w:rPr>
        <w:t>Portaria</w:t>
      </w:r>
      <w:r w:rsidR="00A3644D">
        <w:rPr>
          <w:sz w:val="24"/>
        </w:rPr>
        <w:t xml:space="preserve"> GM/MS</w:t>
      </w:r>
      <w:r w:rsidRPr="006E2B09">
        <w:rPr>
          <w:sz w:val="24"/>
        </w:rPr>
        <w:t xml:space="preserve"> nº 1.554, de 30 de julho de 2013, do Ministério da Saúde</w:t>
      </w:r>
      <w:r>
        <w:rPr>
          <w:sz w:val="24"/>
        </w:rPr>
        <w:t xml:space="preserve">, não traz quaisquer alterações </w:t>
      </w:r>
      <w:r w:rsidR="00EA1CFE">
        <w:rPr>
          <w:sz w:val="24"/>
        </w:rPr>
        <w:t>ao comando da proposição</w:t>
      </w:r>
      <w:r w:rsidR="00981B52">
        <w:rPr>
          <w:sz w:val="24"/>
        </w:rPr>
        <w:t xml:space="preserve">, uma vez que </w:t>
      </w:r>
      <w:r w:rsidR="00EC7D11">
        <w:rPr>
          <w:sz w:val="24"/>
        </w:rPr>
        <w:t xml:space="preserve">a referida Portaria não </w:t>
      </w:r>
      <w:r w:rsidR="00E23DA2">
        <w:rPr>
          <w:sz w:val="24"/>
        </w:rPr>
        <w:t>dispôs sobre</w:t>
      </w:r>
      <w:r w:rsidR="00EC7D11">
        <w:rPr>
          <w:sz w:val="24"/>
        </w:rPr>
        <w:t xml:space="preserve"> </w:t>
      </w:r>
      <w:r w:rsidR="00EC7D11" w:rsidRPr="00156177">
        <w:rPr>
          <w:i/>
          <w:sz w:val="24"/>
        </w:rPr>
        <w:t>“medicamentos excepcionais”</w:t>
      </w:r>
      <w:r w:rsidR="00E23DA2">
        <w:rPr>
          <w:sz w:val="24"/>
        </w:rPr>
        <w:t>.</w:t>
      </w:r>
      <w:r w:rsidR="00EC7D11">
        <w:rPr>
          <w:sz w:val="24"/>
        </w:rPr>
        <w:t xml:space="preserve"> </w:t>
      </w:r>
      <w:r w:rsidR="00E23DA2">
        <w:rPr>
          <w:sz w:val="24"/>
        </w:rPr>
        <w:t xml:space="preserve">Ao contrário, </w:t>
      </w:r>
      <w:r w:rsidR="00443A76">
        <w:rPr>
          <w:sz w:val="24"/>
        </w:rPr>
        <w:t xml:space="preserve">esta </w:t>
      </w:r>
      <w:r w:rsidR="00E23DA2">
        <w:rPr>
          <w:sz w:val="24"/>
        </w:rPr>
        <w:t>abandonou</w:t>
      </w:r>
      <w:r w:rsidR="00156177">
        <w:rPr>
          <w:sz w:val="24"/>
        </w:rPr>
        <w:t xml:space="preserve"> a expressão </w:t>
      </w:r>
      <w:r w:rsidR="00E23DA2">
        <w:rPr>
          <w:sz w:val="24"/>
        </w:rPr>
        <w:t>e buscou</w:t>
      </w:r>
      <w:r w:rsidR="00EC7D11">
        <w:rPr>
          <w:sz w:val="24"/>
        </w:rPr>
        <w:t xml:space="preserve"> o </w:t>
      </w:r>
      <w:r w:rsidR="00EC7D11" w:rsidRPr="00E23DA2">
        <w:rPr>
          <w:i/>
          <w:sz w:val="24"/>
        </w:rPr>
        <w:t xml:space="preserve">“resgate do </w:t>
      </w:r>
      <w:r w:rsidR="00156177" w:rsidRPr="00E23DA2">
        <w:rPr>
          <w:i/>
          <w:sz w:val="24"/>
        </w:rPr>
        <w:t>princípio</w:t>
      </w:r>
      <w:r w:rsidR="00EC7D11" w:rsidRPr="00E23DA2">
        <w:rPr>
          <w:i/>
          <w:sz w:val="24"/>
        </w:rPr>
        <w:t xml:space="preserve"> da integralidade do SUS”</w:t>
      </w:r>
      <w:r w:rsidR="00EC7D11">
        <w:rPr>
          <w:sz w:val="24"/>
        </w:rPr>
        <w:t>, fato que ensejou a revisão de</w:t>
      </w:r>
      <w:r w:rsidR="00EC7D11" w:rsidRPr="00EC7D11">
        <w:rPr>
          <w:sz w:val="24"/>
        </w:rPr>
        <w:t xml:space="preserve"> </w:t>
      </w:r>
      <w:r w:rsidR="00EC7D11" w:rsidRPr="00E23DA2">
        <w:rPr>
          <w:i/>
          <w:sz w:val="24"/>
        </w:rPr>
        <w:t>“todo o elenco de medicamentos, havendo inclusões e exclusões de medicamentos visando a busca da garantia do tratamento das doenças tratadas”</w:t>
      </w:r>
      <w:r>
        <w:rPr>
          <w:sz w:val="24"/>
        </w:rPr>
        <w:t>.</w:t>
      </w:r>
      <w:r w:rsidR="0045572A">
        <w:rPr>
          <w:sz w:val="24"/>
        </w:rPr>
        <w:t xml:space="preserve"> </w:t>
      </w:r>
    </w:p>
    <w:p w:rsidR="00EA1CFE" w:rsidRDefault="00981B52" w:rsidP="007C29B4">
      <w:pPr>
        <w:pStyle w:val="Corpodetexto"/>
        <w:spacing w:line="360" w:lineRule="auto"/>
        <w:ind w:firstLine="708"/>
        <w:jc w:val="both"/>
        <w:rPr>
          <w:sz w:val="24"/>
        </w:rPr>
      </w:pPr>
      <w:r>
        <w:rPr>
          <w:sz w:val="24"/>
        </w:rPr>
        <w:t>Além disso</w:t>
      </w:r>
      <w:r w:rsidR="003800C8">
        <w:rPr>
          <w:sz w:val="24"/>
        </w:rPr>
        <w:t xml:space="preserve">, </w:t>
      </w:r>
      <w:r w:rsidR="00623F44">
        <w:rPr>
          <w:sz w:val="24"/>
        </w:rPr>
        <w:t xml:space="preserve">por força do artigo 8º da Lei nº 4.056/2002, bem como das </w:t>
      </w:r>
      <w:r w:rsidR="000B53F2">
        <w:rPr>
          <w:sz w:val="24"/>
        </w:rPr>
        <w:t>determinações</w:t>
      </w:r>
      <w:r w:rsidR="00623F44">
        <w:rPr>
          <w:sz w:val="24"/>
        </w:rPr>
        <w:t xml:space="preserve"> contidas no Título VI da Constituição Federal de 1988, </w:t>
      </w:r>
      <w:r w:rsidR="00BD7F50">
        <w:rPr>
          <w:sz w:val="24"/>
        </w:rPr>
        <w:t>não</w:t>
      </w:r>
      <w:r w:rsidR="00DD419D">
        <w:rPr>
          <w:sz w:val="24"/>
        </w:rPr>
        <w:t xml:space="preserve"> me parece, </w:t>
      </w:r>
      <w:r w:rsidR="00DD419D" w:rsidRPr="00DD419D">
        <w:rPr>
          <w:i/>
          <w:sz w:val="24"/>
        </w:rPr>
        <w:lastRenderedPageBreak/>
        <w:t>s.m.j.</w:t>
      </w:r>
      <w:r w:rsidR="00DD419D">
        <w:rPr>
          <w:sz w:val="24"/>
        </w:rPr>
        <w:t xml:space="preserve">, que o Decreto do Poder Executivo seja o instrumento </w:t>
      </w:r>
      <w:r w:rsidR="00F43DD6">
        <w:rPr>
          <w:sz w:val="24"/>
        </w:rPr>
        <w:t xml:space="preserve">próprio </w:t>
      </w:r>
      <w:r w:rsidR="00DD419D">
        <w:rPr>
          <w:sz w:val="24"/>
        </w:rPr>
        <w:t xml:space="preserve">a </w:t>
      </w:r>
      <w:r w:rsidR="00D46D64">
        <w:rPr>
          <w:sz w:val="24"/>
        </w:rPr>
        <w:t xml:space="preserve">fim de </w:t>
      </w:r>
      <w:r w:rsidR="00DD419D">
        <w:rPr>
          <w:sz w:val="24"/>
        </w:rPr>
        <w:t xml:space="preserve">inovar em aspectos não contemplados na referida Lei, especialmente se isto implicar aumento das hipóteses passíveis de </w:t>
      </w:r>
      <w:proofErr w:type="spellStart"/>
      <w:r w:rsidR="00DD419D">
        <w:rPr>
          <w:sz w:val="24"/>
        </w:rPr>
        <w:t>initributabilidade</w:t>
      </w:r>
      <w:proofErr w:type="spellEnd"/>
      <w:r w:rsidR="00A3073C">
        <w:rPr>
          <w:rStyle w:val="Refdenotaderodap"/>
          <w:sz w:val="24"/>
        </w:rPr>
        <w:footnoteReference w:id="4"/>
      </w:r>
      <w:r w:rsidR="00DD419D">
        <w:rPr>
          <w:sz w:val="24"/>
        </w:rPr>
        <w:t>.</w:t>
      </w:r>
      <w:r w:rsidR="00A3644D">
        <w:rPr>
          <w:sz w:val="24"/>
        </w:rPr>
        <w:t xml:space="preserve"> Note-se que a Resolução nº 987/2016</w:t>
      </w:r>
      <w:r w:rsidR="00A3644D">
        <w:rPr>
          <w:rStyle w:val="Refdenotaderodap"/>
          <w:sz w:val="24"/>
        </w:rPr>
        <w:footnoteReference w:id="5"/>
      </w:r>
      <w:r w:rsidR="00A3644D">
        <w:rPr>
          <w:sz w:val="24"/>
        </w:rPr>
        <w:t xml:space="preserve">, que também produziu efeitos a contar de 28 de março de 2016, manteve a indicação da </w:t>
      </w:r>
      <w:r w:rsidR="00A3644D" w:rsidRPr="00A3644D">
        <w:rPr>
          <w:sz w:val="24"/>
        </w:rPr>
        <w:t xml:space="preserve">Portaria </w:t>
      </w:r>
      <w:r w:rsidR="00A3644D">
        <w:rPr>
          <w:sz w:val="24"/>
        </w:rPr>
        <w:t>GM/MS</w:t>
      </w:r>
      <w:r w:rsidR="00A3644D" w:rsidRPr="00A3644D">
        <w:rPr>
          <w:sz w:val="24"/>
        </w:rPr>
        <w:t xml:space="preserve"> nº 1</w:t>
      </w:r>
      <w:r w:rsidR="00A3644D">
        <w:rPr>
          <w:sz w:val="24"/>
        </w:rPr>
        <w:t>.</w:t>
      </w:r>
      <w:r w:rsidR="00A3644D" w:rsidRPr="00A3644D">
        <w:rPr>
          <w:sz w:val="24"/>
        </w:rPr>
        <w:t>318</w:t>
      </w:r>
      <w:r w:rsidR="00A3644D">
        <w:rPr>
          <w:sz w:val="24"/>
        </w:rPr>
        <w:t>/2002.</w:t>
      </w:r>
    </w:p>
    <w:p w:rsidR="00624914" w:rsidRDefault="00FC205C" w:rsidP="007C29B4">
      <w:pPr>
        <w:pStyle w:val="Corpodetexto"/>
        <w:spacing w:line="360" w:lineRule="auto"/>
        <w:ind w:firstLine="708"/>
        <w:jc w:val="both"/>
        <w:rPr>
          <w:sz w:val="24"/>
        </w:rPr>
      </w:pPr>
      <w:r>
        <w:rPr>
          <w:sz w:val="24"/>
        </w:rPr>
        <w:t xml:space="preserve">Realizados estes comentários, </w:t>
      </w:r>
      <w:r w:rsidR="00833489">
        <w:rPr>
          <w:sz w:val="24"/>
        </w:rPr>
        <w:t xml:space="preserve">uma vez mantida a previsão de que </w:t>
      </w:r>
      <w:r w:rsidR="00AC36E8">
        <w:rPr>
          <w:sz w:val="24"/>
        </w:rPr>
        <w:t>fica</w:t>
      </w:r>
      <w:r w:rsidR="00833489">
        <w:rPr>
          <w:sz w:val="24"/>
        </w:rPr>
        <w:t xml:space="preserve"> afastada a tributação </w:t>
      </w:r>
      <w:r w:rsidR="000E23EA">
        <w:rPr>
          <w:sz w:val="24"/>
        </w:rPr>
        <w:t xml:space="preserve">do FECP </w:t>
      </w:r>
      <w:r w:rsidR="00833489">
        <w:rPr>
          <w:sz w:val="24"/>
        </w:rPr>
        <w:t xml:space="preserve">em relação aos </w:t>
      </w:r>
      <w:r w:rsidR="00833489" w:rsidRPr="00833489">
        <w:rPr>
          <w:i/>
          <w:sz w:val="24"/>
        </w:rPr>
        <w:t>“Medicamentos Excepcionais previstos na Portaria nº 1318, de 23/07/2002, do Ministério da Saúde, e suas atualizações e em Lei estadual específica”</w:t>
      </w:r>
      <w:r w:rsidR="00833489">
        <w:rPr>
          <w:sz w:val="24"/>
        </w:rPr>
        <w:t xml:space="preserve">, </w:t>
      </w:r>
      <w:r w:rsidR="00AC36E8">
        <w:rPr>
          <w:sz w:val="24"/>
        </w:rPr>
        <w:t>resta concluir o referido rol de medicamentos.</w:t>
      </w:r>
      <w:r w:rsidR="00DC0F95">
        <w:rPr>
          <w:sz w:val="24"/>
        </w:rPr>
        <w:t xml:space="preserve"> </w:t>
      </w:r>
    </w:p>
    <w:p w:rsidR="005410D1" w:rsidRDefault="00E75159" w:rsidP="007C29B4">
      <w:pPr>
        <w:pStyle w:val="Corpodetexto"/>
        <w:spacing w:line="360" w:lineRule="auto"/>
        <w:ind w:firstLine="708"/>
        <w:jc w:val="both"/>
        <w:rPr>
          <w:sz w:val="24"/>
        </w:rPr>
      </w:pPr>
      <w:r>
        <w:rPr>
          <w:sz w:val="24"/>
        </w:rPr>
        <w:t xml:space="preserve">A </w:t>
      </w:r>
      <w:r w:rsidRPr="002714DD">
        <w:rPr>
          <w:sz w:val="24"/>
        </w:rPr>
        <w:t xml:space="preserve">Portaria </w:t>
      </w:r>
      <w:r>
        <w:rPr>
          <w:sz w:val="24"/>
        </w:rPr>
        <w:t>GM/MS</w:t>
      </w:r>
      <w:r w:rsidRPr="006E2B09">
        <w:rPr>
          <w:sz w:val="24"/>
        </w:rPr>
        <w:t xml:space="preserve"> </w:t>
      </w:r>
      <w:r w:rsidRPr="002714DD">
        <w:rPr>
          <w:sz w:val="24"/>
        </w:rPr>
        <w:t>nº 1</w:t>
      </w:r>
      <w:r>
        <w:rPr>
          <w:sz w:val="24"/>
        </w:rPr>
        <w:t>.</w:t>
      </w:r>
      <w:r w:rsidRPr="002714DD">
        <w:rPr>
          <w:sz w:val="24"/>
        </w:rPr>
        <w:t>318</w:t>
      </w:r>
      <w:r>
        <w:rPr>
          <w:sz w:val="24"/>
        </w:rPr>
        <w:t>/2002</w:t>
      </w:r>
      <w:r w:rsidR="008973E4">
        <w:rPr>
          <w:sz w:val="24"/>
        </w:rPr>
        <w:t xml:space="preserve"> </w:t>
      </w:r>
      <w:r>
        <w:rPr>
          <w:sz w:val="24"/>
        </w:rPr>
        <w:t xml:space="preserve">sofreu algumas alterações até ser revogada e substituída pela Portaria nº GM/MS nº </w:t>
      </w:r>
      <w:r w:rsidR="00C41AB2">
        <w:rPr>
          <w:sz w:val="24"/>
        </w:rPr>
        <w:t>2.577/2006</w:t>
      </w:r>
      <w:r w:rsidR="008973E4">
        <w:rPr>
          <w:sz w:val="24"/>
        </w:rPr>
        <w:t xml:space="preserve">, </w:t>
      </w:r>
      <w:r w:rsidR="00C41AB2">
        <w:rPr>
          <w:sz w:val="24"/>
        </w:rPr>
        <w:t xml:space="preserve">na </w:t>
      </w:r>
      <w:r w:rsidR="008973E4">
        <w:rPr>
          <w:sz w:val="24"/>
        </w:rPr>
        <w:t xml:space="preserve">ocasião </w:t>
      </w:r>
      <w:r w:rsidR="00C41AB2">
        <w:rPr>
          <w:sz w:val="24"/>
        </w:rPr>
        <w:t xml:space="preserve">em </w:t>
      </w:r>
      <w:r w:rsidR="008973E4">
        <w:rPr>
          <w:sz w:val="24"/>
        </w:rPr>
        <w:t xml:space="preserve">que </w:t>
      </w:r>
      <w:r>
        <w:rPr>
          <w:sz w:val="24"/>
        </w:rPr>
        <w:t xml:space="preserve">a nomenclatura foi alterada para </w:t>
      </w:r>
      <w:r w:rsidR="00C41AB2" w:rsidRPr="00C41AB2">
        <w:rPr>
          <w:i/>
          <w:sz w:val="24"/>
        </w:rPr>
        <w:t xml:space="preserve">“Componente de </w:t>
      </w:r>
      <w:r w:rsidRPr="00C41AB2">
        <w:rPr>
          <w:i/>
          <w:sz w:val="24"/>
        </w:rPr>
        <w:t>Medicamentos de Dispensação Excepcional (CMDE)</w:t>
      </w:r>
      <w:r w:rsidR="00C41AB2" w:rsidRPr="00C41AB2">
        <w:rPr>
          <w:i/>
          <w:sz w:val="24"/>
        </w:rPr>
        <w:t>”</w:t>
      </w:r>
      <w:r w:rsidR="00C41AB2">
        <w:rPr>
          <w:sz w:val="24"/>
        </w:rPr>
        <w:t xml:space="preserve">. </w:t>
      </w:r>
      <w:r w:rsidR="006B7416">
        <w:rPr>
          <w:sz w:val="24"/>
        </w:rPr>
        <w:t xml:space="preserve">Segundo esclarecimentos trazidos por intermédio do ofício nº 4468/2016/DAF/SCTIE/MS (vide </w:t>
      </w:r>
      <w:r w:rsidR="006B7416" w:rsidRPr="00AE1534">
        <w:rPr>
          <w:i/>
          <w:sz w:val="24"/>
        </w:rPr>
        <w:t>fls</w:t>
      </w:r>
      <w:r w:rsidR="006B7416">
        <w:rPr>
          <w:sz w:val="24"/>
        </w:rPr>
        <w:t>. 36 e 37 (inclusive o verso de ambas)</w:t>
      </w:r>
      <w:r w:rsidR="00D56298">
        <w:rPr>
          <w:sz w:val="24"/>
        </w:rPr>
        <w:t xml:space="preserve">, </w:t>
      </w:r>
      <w:r w:rsidR="00D56298" w:rsidRPr="00D56298">
        <w:rPr>
          <w:i/>
          <w:sz w:val="24"/>
        </w:rPr>
        <w:t>“essa Portaria marcou a definição do que o SUS entendia por medicamentos excepcionais ou de dispensação excepcional”</w:t>
      </w:r>
      <w:r w:rsidR="00D56298">
        <w:rPr>
          <w:sz w:val="24"/>
        </w:rPr>
        <w:t>, fato que aponta aparente semelhança conceitual entre as expressões (</w:t>
      </w:r>
      <w:r w:rsidR="00D56298" w:rsidRPr="00D56298">
        <w:rPr>
          <w:sz w:val="24"/>
        </w:rPr>
        <w:t>medicamentos excepcionais ou de dispensação excepcional</w:t>
      </w:r>
      <w:r w:rsidR="00D56298">
        <w:rPr>
          <w:sz w:val="24"/>
        </w:rPr>
        <w:t xml:space="preserve">) e permite concluir que a Portaria </w:t>
      </w:r>
      <w:r w:rsidR="0080388C">
        <w:rPr>
          <w:sz w:val="24"/>
        </w:rPr>
        <w:t xml:space="preserve">nº GM/MS nº 2.577/2006 </w:t>
      </w:r>
      <w:r w:rsidR="00B6783D">
        <w:rPr>
          <w:sz w:val="24"/>
        </w:rPr>
        <w:t>representa</w:t>
      </w:r>
      <w:r w:rsidR="0080388C">
        <w:rPr>
          <w:sz w:val="24"/>
        </w:rPr>
        <w:t xml:space="preserve"> atualização </w:t>
      </w:r>
      <w:r w:rsidR="001355F4">
        <w:rPr>
          <w:sz w:val="24"/>
        </w:rPr>
        <w:t xml:space="preserve">da </w:t>
      </w:r>
      <w:r w:rsidR="001355F4" w:rsidRPr="002714DD">
        <w:rPr>
          <w:sz w:val="24"/>
        </w:rPr>
        <w:t xml:space="preserve">Portaria </w:t>
      </w:r>
      <w:r w:rsidR="001355F4">
        <w:rPr>
          <w:sz w:val="24"/>
        </w:rPr>
        <w:t>GM/MS</w:t>
      </w:r>
      <w:r w:rsidR="001355F4" w:rsidRPr="006E2B09">
        <w:rPr>
          <w:sz w:val="24"/>
        </w:rPr>
        <w:t xml:space="preserve"> </w:t>
      </w:r>
      <w:r w:rsidR="001355F4" w:rsidRPr="002714DD">
        <w:rPr>
          <w:sz w:val="24"/>
        </w:rPr>
        <w:t>nº 1</w:t>
      </w:r>
      <w:r w:rsidR="001355F4">
        <w:rPr>
          <w:sz w:val="24"/>
        </w:rPr>
        <w:t>.</w:t>
      </w:r>
      <w:r w:rsidR="001355F4" w:rsidRPr="002714DD">
        <w:rPr>
          <w:sz w:val="24"/>
        </w:rPr>
        <w:t>318</w:t>
      </w:r>
      <w:r w:rsidR="001355F4">
        <w:rPr>
          <w:sz w:val="24"/>
        </w:rPr>
        <w:t>/2002.</w:t>
      </w:r>
      <w:r w:rsidR="00877187">
        <w:rPr>
          <w:sz w:val="24"/>
        </w:rPr>
        <w:t xml:space="preserve"> </w:t>
      </w:r>
    </w:p>
    <w:p w:rsidR="00624914" w:rsidRDefault="005410D1" w:rsidP="007C29B4">
      <w:pPr>
        <w:pStyle w:val="Corpodetexto"/>
        <w:spacing w:line="360" w:lineRule="auto"/>
        <w:ind w:firstLine="708"/>
        <w:jc w:val="both"/>
        <w:rPr>
          <w:sz w:val="24"/>
        </w:rPr>
      </w:pPr>
      <w:r>
        <w:rPr>
          <w:sz w:val="24"/>
        </w:rPr>
        <w:t>A</w:t>
      </w:r>
      <w:r w:rsidR="00877187">
        <w:rPr>
          <w:sz w:val="24"/>
        </w:rPr>
        <w:t xml:space="preserve"> Portaria nº GM/MS nº 2.577/2006, </w:t>
      </w:r>
      <w:r>
        <w:rPr>
          <w:sz w:val="24"/>
        </w:rPr>
        <w:t xml:space="preserve">por sua vez, </w:t>
      </w:r>
      <w:r w:rsidR="00877187">
        <w:rPr>
          <w:sz w:val="24"/>
        </w:rPr>
        <w:t>antes de ser revogada pela Portaria nº GM/MS nº 2.981/2009</w:t>
      </w:r>
      <w:r>
        <w:rPr>
          <w:sz w:val="24"/>
        </w:rPr>
        <w:t xml:space="preserve">, teve </w:t>
      </w:r>
      <w:r w:rsidR="00FF70C3">
        <w:rPr>
          <w:sz w:val="24"/>
        </w:rPr>
        <w:t>seu</w:t>
      </w:r>
      <w:r>
        <w:rPr>
          <w:sz w:val="24"/>
        </w:rPr>
        <w:t xml:space="preserve"> Anexo II (que </w:t>
      </w:r>
      <w:r w:rsidRPr="005410D1">
        <w:rPr>
          <w:sz w:val="24"/>
        </w:rPr>
        <w:t>aprova o Componente de Medicamentos de Dispensação Excepcional</w:t>
      </w:r>
      <w:r>
        <w:rPr>
          <w:sz w:val="24"/>
        </w:rPr>
        <w:t xml:space="preserve">) </w:t>
      </w:r>
      <w:r w:rsidR="00FF70C3" w:rsidRPr="00FF70C3">
        <w:rPr>
          <w:sz w:val="24"/>
        </w:rPr>
        <w:t>integralmente substituído pelos termos e valores constantes</w:t>
      </w:r>
      <w:r w:rsidR="00FF70C3">
        <w:rPr>
          <w:sz w:val="24"/>
        </w:rPr>
        <w:t xml:space="preserve"> na Portaria nº GM/MS nº 106, de 22 de janeiro de 2009.</w:t>
      </w:r>
      <w:r w:rsidR="00E447A4">
        <w:rPr>
          <w:sz w:val="24"/>
        </w:rPr>
        <w:t xml:space="preserve"> Tendo em vista que a Portaria nº GM/MS nº 2.981/2009 </w:t>
      </w:r>
      <w:r w:rsidR="00371482">
        <w:rPr>
          <w:sz w:val="24"/>
        </w:rPr>
        <w:t xml:space="preserve">marca o momento que </w:t>
      </w:r>
      <w:r w:rsidR="00371482" w:rsidRPr="003E379C">
        <w:rPr>
          <w:i/>
          <w:sz w:val="24"/>
        </w:rPr>
        <w:t>“o Sistema Único de Saúde abandonou o conceito de “excepcionalidade” ou de “medicamentos excepcionais””</w:t>
      </w:r>
      <w:r w:rsidR="00371482">
        <w:rPr>
          <w:sz w:val="24"/>
        </w:rPr>
        <w:t xml:space="preserve"> e </w:t>
      </w:r>
      <w:r w:rsidR="00874263">
        <w:rPr>
          <w:sz w:val="24"/>
        </w:rPr>
        <w:t xml:space="preserve">que </w:t>
      </w:r>
      <w:r w:rsidR="00874263" w:rsidRPr="003E379C">
        <w:rPr>
          <w:i/>
          <w:sz w:val="24"/>
        </w:rPr>
        <w:t>“</w:t>
      </w:r>
      <w:r w:rsidR="00371482" w:rsidRPr="003E379C">
        <w:rPr>
          <w:i/>
          <w:sz w:val="24"/>
        </w:rPr>
        <w:t>o CMDE foi substituído pelo Componente Especializado da Assistência Farmacêutica – CEAF (regulamentado pela Portaria GM/MS nº 2.981/2009 e, posteriormente, pela Portaria GM/MS nº 1.554/2013)</w:t>
      </w:r>
      <w:r w:rsidR="00874263" w:rsidRPr="003E379C">
        <w:rPr>
          <w:i/>
          <w:sz w:val="24"/>
        </w:rPr>
        <w:t>”</w:t>
      </w:r>
      <w:r w:rsidR="00874263">
        <w:rPr>
          <w:sz w:val="24"/>
        </w:rPr>
        <w:t xml:space="preserve">, conclui-se que </w:t>
      </w:r>
      <w:r w:rsidR="00100871">
        <w:rPr>
          <w:sz w:val="24"/>
        </w:rPr>
        <w:t xml:space="preserve">a última relação de </w:t>
      </w:r>
      <w:r w:rsidR="00100871" w:rsidRPr="003E379C">
        <w:rPr>
          <w:i/>
          <w:sz w:val="24"/>
        </w:rPr>
        <w:t>“medicamentos excepcionais”</w:t>
      </w:r>
      <w:r w:rsidR="00100871">
        <w:rPr>
          <w:sz w:val="24"/>
        </w:rPr>
        <w:t xml:space="preserve"> (ou </w:t>
      </w:r>
      <w:r w:rsidR="00100871" w:rsidRPr="00100871">
        <w:rPr>
          <w:sz w:val="24"/>
        </w:rPr>
        <w:t>Componente de Medicame</w:t>
      </w:r>
      <w:r w:rsidR="00100871">
        <w:rPr>
          <w:sz w:val="24"/>
        </w:rPr>
        <w:t xml:space="preserve">ntos de Dispensação Excepcional) é obtida a </w:t>
      </w:r>
      <w:r w:rsidR="00100871">
        <w:rPr>
          <w:sz w:val="24"/>
        </w:rPr>
        <w:lastRenderedPageBreak/>
        <w:t>partir do Anexo II indicado na Portaria nº GM/MS nº 106, de 22 de janeiro de 2009.</w:t>
      </w:r>
    </w:p>
    <w:p w:rsidR="006B7416" w:rsidRDefault="00E62132" w:rsidP="007C29B4">
      <w:pPr>
        <w:pStyle w:val="Corpodetexto"/>
        <w:spacing w:line="360" w:lineRule="auto"/>
        <w:ind w:firstLine="708"/>
        <w:jc w:val="both"/>
        <w:rPr>
          <w:sz w:val="24"/>
        </w:rPr>
      </w:pPr>
      <w:r>
        <w:rPr>
          <w:sz w:val="24"/>
        </w:rPr>
        <w:t>Por fim, considerando-se inclusive a sugestão oferecida pelo Departamento de Assistência Farmacêutica e Insumos Estratégicos do Ministério da Saúde</w:t>
      </w:r>
      <w:r>
        <w:rPr>
          <w:rStyle w:val="Refdenotaderodap"/>
          <w:sz w:val="24"/>
        </w:rPr>
        <w:footnoteReference w:id="6"/>
      </w:r>
      <w:r>
        <w:rPr>
          <w:sz w:val="24"/>
        </w:rPr>
        <w:t xml:space="preserve">, </w:t>
      </w:r>
      <w:r w:rsidR="00540ABB">
        <w:rPr>
          <w:sz w:val="24"/>
        </w:rPr>
        <w:t>recomendo que, em paralelo ao envio dos autos deste processo à Auditoria Fiscal Especializada competente a fim de cientificar a consulente, seja enviada cópia dos despachos desta Coordenação de Consultas Jurídico-Tributárias à Coordenação de Estudos e Legislação Tributária</w:t>
      </w:r>
      <w:r w:rsidR="0064711C">
        <w:rPr>
          <w:sz w:val="24"/>
        </w:rPr>
        <w:t xml:space="preserve"> (CELT)</w:t>
      </w:r>
      <w:r w:rsidR="00540ABB">
        <w:rPr>
          <w:sz w:val="24"/>
        </w:rPr>
        <w:t xml:space="preserve">, também da Superintendência de Tributação, com o objetivo de analisar o presente exposto e avaliar, conforme o caso, </w:t>
      </w:r>
      <w:r w:rsidR="004D1BB1">
        <w:rPr>
          <w:sz w:val="24"/>
        </w:rPr>
        <w:t>o</w:t>
      </w:r>
      <w:r w:rsidR="00644284">
        <w:rPr>
          <w:sz w:val="24"/>
        </w:rPr>
        <w:t xml:space="preserve"> recomendável </w:t>
      </w:r>
      <w:r w:rsidR="004D1BB1">
        <w:rPr>
          <w:sz w:val="24"/>
        </w:rPr>
        <w:t>encaminhamento</w:t>
      </w:r>
      <w:r w:rsidR="00644284">
        <w:rPr>
          <w:sz w:val="24"/>
        </w:rPr>
        <w:t xml:space="preserve"> de alteração normativa</w:t>
      </w:r>
      <w:r w:rsidR="00084910">
        <w:rPr>
          <w:rStyle w:val="Refdenotaderodap"/>
          <w:sz w:val="24"/>
        </w:rPr>
        <w:footnoteReference w:id="7"/>
      </w:r>
      <w:r w:rsidR="00644284">
        <w:rPr>
          <w:sz w:val="24"/>
        </w:rPr>
        <w:t>.</w:t>
      </w:r>
    </w:p>
    <w:p w:rsidR="000E4790" w:rsidRPr="00043B41" w:rsidRDefault="000E4790" w:rsidP="000E479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III – </w:t>
      </w:r>
      <w:r w:rsidRPr="00043B41">
        <w:rPr>
          <w:rFonts w:ascii="Times New Roman" w:hAnsi="Times New Roman" w:cs="Times New Roman"/>
          <w:b/>
          <w:sz w:val="24"/>
          <w:szCs w:val="24"/>
        </w:rPr>
        <w:t>CONCLUSÃO</w:t>
      </w:r>
    </w:p>
    <w:p w:rsidR="008A2B19" w:rsidRPr="000F414B" w:rsidRDefault="00810284" w:rsidP="008A2B19">
      <w:pPr>
        <w:pStyle w:val="Corpodetexto"/>
        <w:spacing w:line="360" w:lineRule="auto"/>
        <w:ind w:firstLine="708"/>
        <w:jc w:val="both"/>
        <w:rPr>
          <w:sz w:val="24"/>
        </w:rPr>
      </w:pPr>
      <w:r>
        <w:rPr>
          <w:sz w:val="24"/>
        </w:rPr>
        <w:t xml:space="preserve">Conclui-se </w:t>
      </w:r>
      <w:r w:rsidR="008A2B19">
        <w:rPr>
          <w:sz w:val="24"/>
        </w:rPr>
        <w:t xml:space="preserve">que o artigo 2º, I, </w:t>
      </w:r>
      <w:r w:rsidR="008A2B19" w:rsidRPr="00CD536A">
        <w:rPr>
          <w:i/>
          <w:sz w:val="24"/>
        </w:rPr>
        <w:t>“b”</w:t>
      </w:r>
      <w:r w:rsidR="008A2B19">
        <w:rPr>
          <w:sz w:val="24"/>
        </w:rPr>
        <w:t xml:space="preserve">, da Lei nº 4.056/2002 compreende os </w:t>
      </w:r>
      <w:r w:rsidR="008A2B19" w:rsidRPr="00DA7F0B">
        <w:rPr>
          <w:i/>
          <w:sz w:val="24"/>
        </w:rPr>
        <w:t>“Medicamentos Excepcionais previstos na Portaria nº 1318, de 23/07/2002, do Ministério da Saúde</w:t>
      </w:r>
      <w:r w:rsidR="000F414B">
        <w:rPr>
          <w:i/>
          <w:sz w:val="24"/>
        </w:rPr>
        <w:t>,</w:t>
      </w:r>
      <w:r w:rsidR="000F414B" w:rsidRPr="000F414B">
        <w:rPr>
          <w:i/>
          <w:sz w:val="24"/>
        </w:rPr>
        <w:t xml:space="preserve"> </w:t>
      </w:r>
      <w:r w:rsidR="000F414B" w:rsidRPr="00833489">
        <w:rPr>
          <w:i/>
          <w:sz w:val="24"/>
        </w:rPr>
        <w:t>e suas atualizações e em Lei estadual específica</w:t>
      </w:r>
      <w:r w:rsidR="008A2B19" w:rsidRPr="00DA7F0B">
        <w:rPr>
          <w:i/>
          <w:sz w:val="24"/>
        </w:rPr>
        <w:t>”</w:t>
      </w:r>
      <w:r w:rsidR="000F414B">
        <w:rPr>
          <w:sz w:val="24"/>
        </w:rPr>
        <w:t xml:space="preserve">, devendo ser observada, a fim de afastar a tributação do FECP, a relação </w:t>
      </w:r>
      <w:r w:rsidR="00A44CD8">
        <w:rPr>
          <w:sz w:val="24"/>
        </w:rPr>
        <w:t xml:space="preserve">de medicamentos </w:t>
      </w:r>
      <w:r w:rsidR="00A44CD8" w:rsidRPr="00A44CD8">
        <w:rPr>
          <w:sz w:val="24"/>
        </w:rPr>
        <w:t>prevista</w:t>
      </w:r>
      <w:r w:rsidR="000F414B" w:rsidRPr="00A44CD8">
        <w:rPr>
          <w:sz w:val="24"/>
        </w:rPr>
        <w:t xml:space="preserve"> </w:t>
      </w:r>
      <w:r w:rsidR="000F414B">
        <w:rPr>
          <w:sz w:val="24"/>
        </w:rPr>
        <w:t xml:space="preserve">no </w:t>
      </w:r>
      <w:r w:rsidR="00FA0DBF">
        <w:rPr>
          <w:sz w:val="24"/>
        </w:rPr>
        <w:t>artigo 1º da Portaria nº GM/MS nº 106, de 22 de janeiro de 2009 (</w:t>
      </w:r>
      <w:r w:rsidR="006D34D8">
        <w:rPr>
          <w:sz w:val="24"/>
        </w:rPr>
        <w:t>relativa a</w:t>
      </w:r>
      <w:r w:rsidR="00FA0DBF">
        <w:rPr>
          <w:sz w:val="24"/>
        </w:rPr>
        <w:t>o Anexo II</w:t>
      </w:r>
      <w:r w:rsidR="006D34D8">
        <w:rPr>
          <w:sz w:val="24"/>
        </w:rPr>
        <w:t>, qu</w:t>
      </w:r>
      <w:r w:rsidR="00FA0DBF">
        <w:rPr>
          <w:sz w:val="24"/>
        </w:rPr>
        <w:t xml:space="preserve">e </w:t>
      </w:r>
      <w:r w:rsidR="00FA0DBF" w:rsidRPr="00FA0DBF">
        <w:rPr>
          <w:sz w:val="24"/>
        </w:rPr>
        <w:t>aprova</w:t>
      </w:r>
      <w:r w:rsidR="00FA0DBF">
        <w:rPr>
          <w:sz w:val="24"/>
        </w:rPr>
        <w:t xml:space="preserve"> novos termos e valores relacionados</w:t>
      </w:r>
      <w:r w:rsidR="00FA0DBF" w:rsidRPr="00FA0DBF">
        <w:rPr>
          <w:sz w:val="24"/>
        </w:rPr>
        <w:t xml:space="preserve"> </w:t>
      </w:r>
      <w:r w:rsidR="00FA0DBF">
        <w:rPr>
          <w:sz w:val="24"/>
        </w:rPr>
        <w:t>a</w:t>
      </w:r>
      <w:r w:rsidR="00FA0DBF" w:rsidRPr="00FA0DBF">
        <w:rPr>
          <w:sz w:val="24"/>
        </w:rPr>
        <w:t>o Componente de Medicamentos de Dispensação Excepcional</w:t>
      </w:r>
      <w:r w:rsidR="00FA0DBF">
        <w:rPr>
          <w:sz w:val="24"/>
        </w:rPr>
        <w:t>).</w:t>
      </w:r>
    </w:p>
    <w:p w:rsidR="00DF44D6" w:rsidRDefault="00930B17" w:rsidP="00E77872">
      <w:pPr>
        <w:pStyle w:val="Corpodetexto"/>
        <w:spacing w:line="360" w:lineRule="auto"/>
        <w:ind w:firstLine="708"/>
        <w:jc w:val="both"/>
        <w:rPr>
          <w:sz w:val="24"/>
        </w:rPr>
      </w:pPr>
      <w:r w:rsidRPr="00043B41">
        <w:rPr>
          <w:sz w:val="24"/>
        </w:rPr>
        <w:t>Esta consulta não produzirá os efeitos que lhe são próprios caso seja editada norma superveniente que disponha de forma contrária à presente resposta dada</w:t>
      </w:r>
      <w:r w:rsidR="00DF44D6" w:rsidRPr="00043B41">
        <w:rPr>
          <w:sz w:val="24"/>
        </w:rPr>
        <w:t xml:space="preserve"> ou </w:t>
      </w:r>
      <w:r w:rsidR="006D4F4B">
        <w:rPr>
          <w:sz w:val="24"/>
        </w:rPr>
        <w:t>ocorra</w:t>
      </w:r>
      <w:r w:rsidR="00DF44D6" w:rsidRPr="00043B41">
        <w:rPr>
          <w:sz w:val="24"/>
        </w:rPr>
        <w:t xml:space="preserve"> mudança de entendimento por parte da Administração Tributária.</w:t>
      </w:r>
    </w:p>
    <w:p w:rsidR="00225CE7" w:rsidRPr="00043B41" w:rsidRDefault="00225CE7" w:rsidP="00E77872">
      <w:pPr>
        <w:tabs>
          <w:tab w:val="right" w:pos="8505"/>
        </w:tabs>
        <w:spacing w:after="0" w:line="360" w:lineRule="auto"/>
        <w:jc w:val="right"/>
        <w:rPr>
          <w:rFonts w:ascii="Times New Roman" w:hAnsi="Times New Roman" w:cs="Times New Roman"/>
          <w:sz w:val="24"/>
          <w:szCs w:val="24"/>
        </w:rPr>
      </w:pPr>
      <w:r w:rsidRPr="00043B41">
        <w:rPr>
          <w:rFonts w:ascii="Times New Roman" w:hAnsi="Times New Roman" w:cs="Times New Roman"/>
          <w:sz w:val="24"/>
          <w:szCs w:val="24"/>
        </w:rPr>
        <w:t xml:space="preserve">CCJT, Rio de Janeiro, </w:t>
      </w:r>
      <w:r w:rsidR="008A2B19">
        <w:rPr>
          <w:rFonts w:ascii="Times New Roman" w:hAnsi="Times New Roman" w:cs="Times New Roman"/>
          <w:sz w:val="24"/>
          <w:szCs w:val="24"/>
        </w:rPr>
        <w:t>18</w:t>
      </w:r>
      <w:r w:rsidRPr="00043B41">
        <w:rPr>
          <w:rFonts w:ascii="Times New Roman" w:hAnsi="Times New Roman" w:cs="Times New Roman"/>
          <w:sz w:val="24"/>
          <w:szCs w:val="24"/>
        </w:rPr>
        <w:t xml:space="preserve"> de </w:t>
      </w:r>
      <w:r w:rsidR="008A2B19">
        <w:rPr>
          <w:rFonts w:ascii="Times New Roman" w:hAnsi="Times New Roman" w:cs="Times New Roman"/>
          <w:sz w:val="24"/>
          <w:szCs w:val="24"/>
        </w:rPr>
        <w:t>janeiro</w:t>
      </w:r>
      <w:r w:rsidRPr="00043B41">
        <w:rPr>
          <w:rFonts w:ascii="Times New Roman" w:hAnsi="Times New Roman" w:cs="Times New Roman"/>
          <w:sz w:val="24"/>
          <w:szCs w:val="24"/>
        </w:rPr>
        <w:t xml:space="preserve"> de </w:t>
      </w:r>
      <w:proofErr w:type="gramStart"/>
      <w:r w:rsidRPr="00043B41">
        <w:rPr>
          <w:rFonts w:ascii="Times New Roman" w:hAnsi="Times New Roman" w:cs="Times New Roman"/>
          <w:sz w:val="24"/>
          <w:szCs w:val="24"/>
        </w:rPr>
        <w:t>201</w:t>
      </w:r>
      <w:r w:rsidR="008A2B19">
        <w:rPr>
          <w:rFonts w:ascii="Times New Roman" w:hAnsi="Times New Roman" w:cs="Times New Roman"/>
          <w:sz w:val="24"/>
          <w:szCs w:val="24"/>
        </w:rPr>
        <w:t>7</w:t>
      </w:r>
      <w:proofErr w:type="gramEnd"/>
    </w:p>
    <w:p w:rsidR="003D53FB" w:rsidRPr="00043B41" w:rsidRDefault="003D53FB" w:rsidP="00E77872">
      <w:pPr>
        <w:spacing w:after="0" w:line="240" w:lineRule="auto"/>
        <w:jc w:val="center"/>
        <w:rPr>
          <w:rFonts w:ascii="Times New Roman" w:hAnsi="Times New Roman" w:cs="Times New Roman"/>
          <w:b/>
          <w:sz w:val="24"/>
          <w:szCs w:val="24"/>
        </w:rPr>
      </w:pPr>
    </w:p>
    <w:sectPr w:rsidR="003D53FB" w:rsidRPr="00043B41" w:rsidSect="00225CE7">
      <w:headerReference w:type="even" r:id="rId10"/>
      <w:headerReference w:type="default" r:id="rId11"/>
      <w:footerReference w:type="even" r:id="rId12"/>
      <w:footerReference w:type="default" r:id="rId13"/>
      <w:headerReference w:type="first" r:id="rId14"/>
      <w:footerReference w:type="first" r:id="rId15"/>
      <w:pgSz w:w="11906" w:h="16838"/>
      <w:pgMar w:top="1361" w:right="1418" w:bottom="136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31" w:rsidRDefault="00314031" w:rsidP="00546EC0">
      <w:pPr>
        <w:spacing w:after="0" w:line="240" w:lineRule="auto"/>
      </w:pPr>
      <w:r>
        <w:separator/>
      </w:r>
    </w:p>
  </w:endnote>
  <w:endnote w:type="continuationSeparator" w:id="0">
    <w:p w:rsidR="00314031" w:rsidRDefault="00314031"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CA" w:rsidRDefault="004347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3" w:rsidRDefault="00BF75B3"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BF75B3" w:rsidRDefault="00BF75B3"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BF75B3" w:rsidRPr="00D75516" w:rsidRDefault="00BF75B3"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Coordenação de Consultas Jurídico-Tributárias - CCJT</w:t>
    </w:r>
  </w:p>
  <w:p w:rsidR="00BF75B3" w:rsidRPr="00302FCD" w:rsidRDefault="00BF75B3"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10º andar, Centro, Rio de Janeiro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CA" w:rsidRDefault="004347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31" w:rsidRDefault="00314031" w:rsidP="00546EC0">
      <w:pPr>
        <w:spacing w:after="0" w:line="240" w:lineRule="auto"/>
      </w:pPr>
      <w:r>
        <w:separator/>
      </w:r>
    </w:p>
  </w:footnote>
  <w:footnote w:type="continuationSeparator" w:id="0">
    <w:p w:rsidR="00314031" w:rsidRDefault="00314031" w:rsidP="00546EC0">
      <w:pPr>
        <w:spacing w:after="0" w:line="240" w:lineRule="auto"/>
      </w:pPr>
      <w:r>
        <w:continuationSeparator/>
      </w:r>
    </w:p>
  </w:footnote>
  <w:footnote w:id="1">
    <w:p w:rsidR="00BF75B3" w:rsidRPr="00D209F1" w:rsidRDefault="00BF75B3" w:rsidP="00D209F1">
      <w:pPr>
        <w:pStyle w:val="Corpodetexto"/>
        <w:spacing w:line="360" w:lineRule="auto"/>
        <w:ind w:firstLine="708"/>
        <w:jc w:val="both"/>
        <w:rPr>
          <w:i/>
          <w:sz w:val="16"/>
          <w:szCs w:val="16"/>
        </w:rPr>
      </w:pPr>
      <w:r w:rsidRPr="00D209F1">
        <w:rPr>
          <w:rStyle w:val="Refdenotaderodap"/>
          <w:i/>
          <w:sz w:val="16"/>
          <w:szCs w:val="16"/>
        </w:rPr>
        <w:footnoteRef/>
      </w:r>
      <w:r w:rsidRPr="00D209F1">
        <w:rPr>
          <w:i/>
          <w:sz w:val="16"/>
          <w:szCs w:val="16"/>
        </w:rPr>
        <w:t xml:space="preserve"> “Sendo assim, considerando que (1) a interpretação no plano jurídico-tributário carece de conclusões sobre termos e conceitos relativos à área de conhecimento específica (saúde), em especial a definição da expressão “medicamentos excepcionais”; (2) a referida expressão foi mantida na Lei estadual nº 4.056/2002, com a redação conferida pela Lei Complementar nº 167/2015, ainda que aparentemente não seja mais utilizada nas Portarias do Ministério da Saúde sobre o tema; (3) a redação do artigo 14-A do Livro I do RICMS/00, na forma conferida pelo Decreto nº 45.611/2016, com a mera reprodução da expressão “medicamentos excepcionais”, não esclarece seu atual sentido e alcance; (4) atualmente é utilizada a expressão “Componente Especializado da Assistência Farmacêutica no âmbito do Sistema de Saúde (SUS)”, apresentando, s.m.j., modificações em sua extensão e escopo, além da própria denominação e (5) s.m.j., apenas oito fármacos originalmente previstos na Portaria nº 1.318/2002 do Ministério da Saúde constam, p.ex., no grupo três a que se refere a Portaria nº 1.554/2013, sugiro, observado ainda o disposto no artigo 27 do Decreto nº 2.473/79, o envio de ofício ao Ministério da Saúde</w:t>
      </w:r>
      <w:r w:rsidRPr="00D209F1">
        <w:rPr>
          <w:rStyle w:val="Refdenotaderodap"/>
          <w:i/>
          <w:sz w:val="16"/>
          <w:szCs w:val="16"/>
        </w:rPr>
        <w:footnoteRef/>
      </w:r>
      <w:r w:rsidRPr="00D209F1">
        <w:rPr>
          <w:i/>
          <w:sz w:val="16"/>
          <w:szCs w:val="16"/>
        </w:rPr>
        <w:t xml:space="preserve"> ou, alternativamente, à Secretaria Estadual de Saúde a fim de obter auxílio técnico a respeito dos seguintes questionamentos: (i) a expressão “medicamentos excepcionais” (anteriormente indicada na Portaria nº 1.318/2002) contempla todos os medicamentos relacionados na Portaria nº 1.554/2013? (</w:t>
      </w:r>
      <w:proofErr w:type="spellStart"/>
      <w:r w:rsidRPr="00D209F1">
        <w:rPr>
          <w:i/>
          <w:sz w:val="16"/>
          <w:szCs w:val="16"/>
        </w:rPr>
        <w:t>ii</w:t>
      </w:r>
      <w:proofErr w:type="spellEnd"/>
      <w:r w:rsidRPr="00D209F1">
        <w:rPr>
          <w:i/>
          <w:sz w:val="16"/>
          <w:szCs w:val="16"/>
        </w:rPr>
        <w:t>) Ou seja, todos os fármacos citados nos grupos (1, 2 e 3) da Portaria nº 1.554/2013 são considerados “medicamentos excepcionais”, observado o desuso do termo e a nova terminologia adotada (Componente Especializado da Assistência Farmacêutica)? (</w:t>
      </w:r>
      <w:proofErr w:type="spellStart"/>
      <w:r w:rsidRPr="00D209F1">
        <w:rPr>
          <w:i/>
          <w:sz w:val="16"/>
          <w:szCs w:val="16"/>
        </w:rPr>
        <w:t>iii</w:t>
      </w:r>
      <w:proofErr w:type="spellEnd"/>
      <w:r w:rsidRPr="00D209F1">
        <w:rPr>
          <w:i/>
          <w:sz w:val="16"/>
          <w:szCs w:val="16"/>
        </w:rPr>
        <w:t>) Caso negativo, qual o sentido e alcance da expressão “medicamentos excepcionais” e, consequentemente, quais medicamentos indicados na Portaria nº 1.554/2013 assim podem ser considerados?”.</w:t>
      </w:r>
    </w:p>
  </w:footnote>
  <w:footnote w:id="2">
    <w:p w:rsidR="00155C4F" w:rsidRPr="00DA4342" w:rsidRDefault="00155C4F" w:rsidP="00155C4F">
      <w:pPr>
        <w:pStyle w:val="Textodenotaderodap"/>
        <w:jc w:val="both"/>
        <w:rPr>
          <w:rFonts w:ascii="Times New Roman" w:hAnsi="Times New Roman" w:cs="Times New Roman"/>
          <w:i/>
          <w:sz w:val="18"/>
          <w:szCs w:val="18"/>
        </w:rPr>
      </w:pPr>
      <w:r w:rsidRPr="00DA4342">
        <w:rPr>
          <w:rStyle w:val="Refdenotaderodap"/>
          <w:rFonts w:ascii="Times New Roman" w:hAnsi="Times New Roman" w:cs="Times New Roman"/>
          <w:sz w:val="18"/>
          <w:szCs w:val="18"/>
        </w:rPr>
        <w:footnoteRef/>
      </w:r>
      <w:r w:rsidRPr="00DA4342">
        <w:rPr>
          <w:rFonts w:ascii="Times New Roman" w:hAnsi="Times New Roman" w:cs="Times New Roman"/>
          <w:sz w:val="18"/>
          <w:szCs w:val="18"/>
        </w:rPr>
        <w:t xml:space="preserve"> </w:t>
      </w:r>
      <w:r w:rsidRPr="00DA4342">
        <w:rPr>
          <w:rFonts w:ascii="Times New Roman" w:hAnsi="Times New Roman" w:cs="Times New Roman"/>
          <w:i/>
          <w:sz w:val="18"/>
          <w:szCs w:val="18"/>
        </w:rPr>
        <w:t>“Art. 14-A. As alíquotas do ICMS fixadas no art. 14 ficam acrescidas de dois pontos percentuais a serem destinados ao Fundo Estadual de Combate à Pobreza e às Desigualdades Sociais (FECP) de que trata a Lei n.º 4056, de 30 de dezembro de 2002.</w:t>
      </w:r>
    </w:p>
    <w:p w:rsidR="00155C4F" w:rsidRPr="00DA4342" w:rsidRDefault="00155C4F" w:rsidP="00155C4F">
      <w:pPr>
        <w:pStyle w:val="Textodenotaderodap"/>
        <w:jc w:val="both"/>
        <w:rPr>
          <w:rFonts w:ascii="Times New Roman" w:hAnsi="Times New Roman" w:cs="Times New Roman"/>
          <w:i/>
          <w:sz w:val="18"/>
          <w:szCs w:val="18"/>
        </w:rPr>
      </w:pPr>
      <w:r w:rsidRPr="00DA4342">
        <w:rPr>
          <w:rFonts w:ascii="Times New Roman" w:hAnsi="Times New Roman" w:cs="Times New Roman"/>
          <w:i/>
          <w:sz w:val="18"/>
          <w:szCs w:val="18"/>
        </w:rPr>
        <w:t>§ 1.º O acréscimo de alíquota de que trata o caput deste artigo não se aplica sobre as operações com as seguintes mercadorias:</w:t>
      </w:r>
    </w:p>
    <w:p w:rsidR="00155C4F" w:rsidRPr="00DA4342" w:rsidRDefault="00155C4F" w:rsidP="00155C4F">
      <w:pPr>
        <w:pStyle w:val="Textodenotaderodap"/>
        <w:jc w:val="both"/>
        <w:rPr>
          <w:rFonts w:ascii="Times New Roman" w:hAnsi="Times New Roman" w:cs="Times New Roman"/>
          <w:i/>
          <w:sz w:val="18"/>
          <w:szCs w:val="18"/>
        </w:rPr>
      </w:pPr>
      <w:r w:rsidRPr="00DA4342">
        <w:rPr>
          <w:rFonts w:ascii="Times New Roman" w:hAnsi="Times New Roman" w:cs="Times New Roman"/>
          <w:i/>
          <w:sz w:val="18"/>
          <w:szCs w:val="18"/>
        </w:rPr>
        <w:t>1. gêneros que compõem a Cesta Básica, assim definidos aqueles estabelecidos em estudo da Fundação Getúlio Vargas e em Lei estadual específica;</w:t>
      </w:r>
    </w:p>
    <w:p w:rsidR="00155C4F" w:rsidRPr="00DA4342" w:rsidRDefault="00155C4F" w:rsidP="00155C4F">
      <w:pPr>
        <w:pStyle w:val="Textodenotaderodap"/>
        <w:jc w:val="both"/>
        <w:rPr>
          <w:rFonts w:ascii="Times New Roman" w:hAnsi="Times New Roman" w:cs="Times New Roman"/>
          <w:i/>
          <w:sz w:val="18"/>
          <w:szCs w:val="18"/>
        </w:rPr>
      </w:pPr>
      <w:r w:rsidRPr="00DA4342">
        <w:rPr>
          <w:rFonts w:ascii="Times New Roman" w:hAnsi="Times New Roman" w:cs="Times New Roman"/>
          <w:i/>
          <w:sz w:val="18"/>
          <w:szCs w:val="18"/>
        </w:rPr>
        <w:t>2. medicamentos excepcionais previstos na Portaria n.º 1.554, de 30 de julho de 2013, do Ministério da Saúde, e suas atualizações e em Lei estadual específica;</w:t>
      </w:r>
    </w:p>
    <w:p w:rsidR="00155C4F" w:rsidRDefault="00155C4F" w:rsidP="00155C4F">
      <w:pPr>
        <w:pStyle w:val="Textodenotaderodap"/>
        <w:jc w:val="both"/>
      </w:pPr>
      <w:r w:rsidRPr="00DA4342">
        <w:rPr>
          <w:rFonts w:ascii="Times New Roman" w:hAnsi="Times New Roman" w:cs="Times New Roman"/>
          <w:i/>
          <w:sz w:val="18"/>
          <w:szCs w:val="18"/>
        </w:rPr>
        <w:t>3. material escolar listados no anexo ao Decreto n.º 36.376, de 18 de outubro de 2004;(...).”.</w:t>
      </w:r>
    </w:p>
  </w:footnote>
  <w:footnote w:id="3">
    <w:p w:rsidR="00DA4342" w:rsidRPr="00DA4342" w:rsidRDefault="00DA4342">
      <w:pPr>
        <w:pStyle w:val="Textodenotaderodap"/>
        <w:rPr>
          <w:rFonts w:ascii="Times New Roman" w:hAnsi="Times New Roman" w:cs="Times New Roman"/>
          <w:sz w:val="18"/>
          <w:szCs w:val="18"/>
        </w:rPr>
      </w:pPr>
      <w:r w:rsidRPr="00DA4342">
        <w:rPr>
          <w:rStyle w:val="Refdenotaderodap"/>
          <w:rFonts w:ascii="Times New Roman" w:hAnsi="Times New Roman" w:cs="Times New Roman"/>
          <w:sz w:val="18"/>
          <w:szCs w:val="18"/>
        </w:rPr>
        <w:footnoteRef/>
      </w:r>
      <w:r w:rsidRPr="00DA4342">
        <w:rPr>
          <w:rFonts w:ascii="Times New Roman" w:hAnsi="Times New Roman" w:cs="Times New Roman"/>
          <w:sz w:val="18"/>
          <w:szCs w:val="18"/>
        </w:rPr>
        <w:t xml:space="preserve"> </w:t>
      </w:r>
      <w:r w:rsidRPr="00DA4342">
        <w:rPr>
          <w:rFonts w:ascii="Times New Roman" w:hAnsi="Times New Roman" w:cs="Times New Roman"/>
          <w:i/>
          <w:sz w:val="18"/>
          <w:szCs w:val="18"/>
        </w:rPr>
        <w:t>“Art. 8º - Decreto do Poder Executivo, disporá sobre a matéria de que trata esta Lei autorizativa”.</w:t>
      </w:r>
    </w:p>
  </w:footnote>
  <w:footnote w:id="4">
    <w:p w:rsidR="00A3073C" w:rsidRPr="009822AA" w:rsidRDefault="00A3073C" w:rsidP="009822AA">
      <w:pPr>
        <w:pStyle w:val="Textodenotaderodap"/>
        <w:jc w:val="both"/>
        <w:rPr>
          <w:rFonts w:ascii="Times New Roman" w:hAnsi="Times New Roman" w:cs="Times New Roman"/>
          <w:sz w:val="18"/>
          <w:szCs w:val="18"/>
        </w:rPr>
      </w:pPr>
      <w:r w:rsidRPr="009822AA">
        <w:rPr>
          <w:rStyle w:val="Refdenotaderodap"/>
          <w:rFonts w:ascii="Times New Roman" w:hAnsi="Times New Roman" w:cs="Times New Roman"/>
          <w:sz w:val="18"/>
          <w:szCs w:val="18"/>
        </w:rPr>
        <w:footnoteRef/>
      </w:r>
      <w:r w:rsidRPr="009822AA">
        <w:rPr>
          <w:rFonts w:ascii="Times New Roman" w:hAnsi="Times New Roman" w:cs="Times New Roman"/>
          <w:sz w:val="18"/>
          <w:szCs w:val="18"/>
        </w:rPr>
        <w:t xml:space="preserve"> Em comparação feita de forma artesanal, esta autoridade fiscal constatou que </w:t>
      </w:r>
      <w:r w:rsidR="000F2D0D" w:rsidRPr="009822AA">
        <w:rPr>
          <w:rFonts w:ascii="Times New Roman" w:hAnsi="Times New Roman" w:cs="Times New Roman"/>
          <w:sz w:val="18"/>
          <w:szCs w:val="18"/>
        </w:rPr>
        <w:t xml:space="preserve">a relação de medicamentos contida na Portaria </w:t>
      </w:r>
      <w:r w:rsidR="009822AA" w:rsidRPr="009822AA">
        <w:rPr>
          <w:rFonts w:ascii="Times New Roman" w:hAnsi="Times New Roman" w:cs="Times New Roman"/>
          <w:sz w:val="18"/>
          <w:szCs w:val="18"/>
        </w:rPr>
        <w:t xml:space="preserve">GM/MS nº 1.554/2013 </w:t>
      </w:r>
      <w:r w:rsidR="000F2D0D" w:rsidRPr="009822AA">
        <w:rPr>
          <w:rFonts w:ascii="Times New Roman" w:hAnsi="Times New Roman" w:cs="Times New Roman"/>
          <w:sz w:val="18"/>
          <w:szCs w:val="18"/>
        </w:rPr>
        <w:t xml:space="preserve">mostra-se </w:t>
      </w:r>
      <w:r w:rsidR="009822AA">
        <w:rPr>
          <w:rFonts w:ascii="Times New Roman" w:hAnsi="Times New Roman" w:cs="Times New Roman"/>
          <w:sz w:val="18"/>
          <w:szCs w:val="18"/>
        </w:rPr>
        <w:t>cerca</w:t>
      </w:r>
      <w:r w:rsidR="009822AA" w:rsidRPr="009822AA">
        <w:rPr>
          <w:rFonts w:ascii="Times New Roman" w:hAnsi="Times New Roman" w:cs="Times New Roman"/>
          <w:sz w:val="18"/>
          <w:szCs w:val="18"/>
        </w:rPr>
        <w:t xml:space="preserve"> de </w:t>
      </w:r>
      <w:r w:rsidR="009822AA">
        <w:rPr>
          <w:rFonts w:ascii="Times New Roman" w:hAnsi="Times New Roman" w:cs="Times New Roman"/>
          <w:sz w:val="18"/>
          <w:szCs w:val="18"/>
        </w:rPr>
        <w:t>8</w:t>
      </w:r>
      <w:r w:rsidR="009822AA" w:rsidRPr="009822AA">
        <w:rPr>
          <w:rFonts w:ascii="Times New Roman" w:hAnsi="Times New Roman" w:cs="Times New Roman"/>
          <w:sz w:val="18"/>
          <w:szCs w:val="18"/>
        </w:rPr>
        <w:t>0% superior àquela prevista na última atualização da Portaria GM/MS nº 1.318/2002.</w:t>
      </w:r>
    </w:p>
  </w:footnote>
  <w:footnote w:id="5">
    <w:p w:rsidR="00A3644D" w:rsidRPr="00A3644D" w:rsidRDefault="00A3644D" w:rsidP="00A3644D">
      <w:pPr>
        <w:pStyle w:val="Textodenotaderodap"/>
        <w:jc w:val="both"/>
        <w:rPr>
          <w:rFonts w:ascii="Times New Roman" w:hAnsi="Times New Roman" w:cs="Times New Roman"/>
          <w:sz w:val="18"/>
          <w:szCs w:val="18"/>
        </w:rPr>
      </w:pPr>
      <w:r w:rsidRPr="00A3644D">
        <w:rPr>
          <w:rStyle w:val="Refdenotaderodap"/>
          <w:rFonts w:ascii="Times New Roman" w:hAnsi="Times New Roman" w:cs="Times New Roman"/>
          <w:sz w:val="18"/>
          <w:szCs w:val="18"/>
        </w:rPr>
        <w:footnoteRef/>
      </w:r>
      <w:r w:rsidRPr="00A3644D">
        <w:rPr>
          <w:rFonts w:ascii="Times New Roman" w:hAnsi="Times New Roman" w:cs="Times New Roman"/>
          <w:sz w:val="18"/>
          <w:szCs w:val="18"/>
        </w:rPr>
        <w:t xml:space="preserve"> Segundo ementa: </w:t>
      </w:r>
      <w:r w:rsidRPr="00A3644D">
        <w:rPr>
          <w:rFonts w:ascii="Times New Roman" w:hAnsi="Times New Roman" w:cs="Times New Roman"/>
          <w:i/>
          <w:sz w:val="18"/>
          <w:szCs w:val="18"/>
        </w:rPr>
        <w:t>“Dispõe sobre o pagamento da parcela do adicional, relativo ao Fundo Estadual de Combate à Pobreza e às Desigualdades Sociais (FECP), e dá outras providências”</w:t>
      </w:r>
      <w:r w:rsidRPr="00A3644D">
        <w:rPr>
          <w:rFonts w:ascii="Times New Roman" w:hAnsi="Times New Roman" w:cs="Times New Roman"/>
          <w:sz w:val="18"/>
          <w:szCs w:val="18"/>
        </w:rPr>
        <w:t>.</w:t>
      </w:r>
    </w:p>
  </w:footnote>
  <w:footnote w:id="6">
    <w:p w:rsidR="00E62132" w:rsidRPr="00E62132" w:rsidRDefault="00E62132" w:rsidP="00E62132">
      <w:pPr>
        <w:pStyle w:val="Textodenotaderodap"/>
        <w:jc w:val="both"/>
        <w:rPr>
          <w:rFonts w:ascii="Times New Roman" w:hAnsi="Times New Roman" w:cs="Times New Roman"/>
          <w:sz w:val="18"/>
          <w:szCs w:val="18"/>
        </w:rPr>
      </w:pPr>
      <w:r w:rsidRPr="00E62132">
        <w:rPr>
          <w:rStyle w:val="Refdenotaderodap"/>
          <w:rFonts w:ascii="Times New Roman" w:hAnsi="Times New Roman" w:cs="Times New Roman"/>
          <w:sz w:val="18"/>
          <w:szCs w:val="18"/>
        </w:rPr>
        <w:footnoteRef/>
      </w:r>
      <w:r w:rsidRPr="00E62132">
        <w:rPr>
          <w:rFonts w:ascii="Times New Roman" w:hAnsi="Times New Roman" w:cs="Times New Roman"/>
          <w:sz w:val="18"/>
          <w:szCs w:val="18"/>
        </w:rPr>
        <w:t xml:space="preserve"> </w:t>
      </w:r>
      <w:r w:rsidRPr="00E62132">
        <w:rPr>
          <w:rFonts w:ascii="Times New Roman" w:hAnsi="Times New Roman" w:cs="Times New Roman"/>
          <w:i/>
          <w:sz w:val="18"/>
          <w:szCs w:val="18"/>
        </w:rPr>
        <w:t>“...sugere-se, respeitosamente, que a legislação local que emprega a expressão “medicamentos excepcionais” seja atualizada...”.</w:t>
      </w:r>
    </w:p>
  </w:footnote>
  <w:footnote w:id="7">
    <w:p w:rsidR="00084910" w:rsidRPr="00AF7A14" w:rsidRDefault="00084910" w:rsidP="00AF7A14">
      <w:pPr>
        <w:pStyle w:val="Textodenotaderodap"/>
        <w:jc w:val="both"/>
        <w:rPr>
          <w:rFonts w:ascii="Times New Roman" w:hAnsi="Times New Roman" w:cs="Times New Roman"/>
          <w:sz w:val="18"/>
          <w:szCs w:val="18"/>
        </w:rPr>
      </w:pPr>
      <w:r w:rsidRPr="00AF7A14">
        <w:rPr>
          <w:rStyle w:val="Refdenotaderodap"/>
          <w:rFonts w:ascii="Times New Roman" w:hAnsi="Times New Roman" w:cs="Times New Roman"/>
          <w:sz w:val="18"/>
          <w:szCs w:val="18"/>
        </w:rPr>
        <w:footnoteRef/>
      </w:r>
      <w:r w:rsidRPr="00AF7A14">
        <w:rPr>
          <w:rFonts w:ascii="Times New Roman" w:hAnsi="Times New Roman" w:cs="Times New Roman"/>
          <w:sz w:val="18"/>
          <w:szCs w:val="18"/>
        </w:rPr>
        <w:t xml:space="preserve"> Em observância ao disposto no </w:t>
      </w:r>
      <w:r w:rsidR="00AF7A14" w:rsidRPr="00AF7A14">
        <w:rPr>
          <w:rFonts w:ascii="Times New Roman" w:hAnsi="Times New Roman" w:cs="Times New Roman"/>
          <w:sz w:val="18"/>
          <w:szCs w:val="18"/>
        </w:rPr>
        <w:t>artigo 6º, inciso V, alínea “d”, do Decreto nº 40.613/2007.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CA" w:rsidRDefault="004347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BF75B3"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BF75B3" w:rsidRPr="001C3C9E" w:rsidRDefault="00BF75B3"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BF75B3" w:rsidRPr="001C3C9E" w:rsidTr="00302FCD">
      <w:trPr>
        <w:cantSplit/>
        <w:trHeight w:val="276"/>
      </w:trPr>
      <w:tc>
        <w:tcPr>
          <w:tcW w:w="2552" w:type="dxa"/>
          <w:tcBorders>
            <w:left w:val="single" w:sz="8" w:space="0" w:color="000000"/>
            <w:right w:val="single" w:sz="8" w:space="0" w:color="000000"/>
          </w:tcBorders>
          <w:shd w:val="clear" w:color="auto" w:fill="auto"/>
        </w:tcPr>
        <w:p w:rsidR="00BF75B3" w:rsidRPr="001C3C9E" w:rsidRDefault="00BF75B3" w:rsidP="00EE0AAA">
          <w:pPr>
            <w:pStyle w:val="Cabealho"/>
            <w:snapToGrid w:val="0"/>
            <w:rPr>
              <w:rFonts w:ascii="Times New Roman" w:hAnsi="Times New Roman" w:cs="Times New Roman"/>
              <w:sz w:val="18"/>
              <w:szCs w:val="18"/>
            </w:rPr>
          </w:pPr>
          <w:r>
            <w:rPr>
              <w:rFonts w:ascii="Times New Roman" w:hAnsi="Times New Roman" w:cs="Times New Roman"/>
              <w:sz w:val="18"/>
              <w:szCs w:val="18"/>
            </w:rPr>
            <w:t>Proc. n° E-04/079/2627/2016</w:t>
          </w:r>
        </w:p>
      </w:tc>
    </w:tr>
    <w:tr w:rsidR="00BF75B3" w:rsidRPr="001C3C9E" w:rsidTr="00302FCD">
      <w:trPr>
        <w:cantSplit/>
        <w:trHeight w:val="276"/>
      </w:trPr>
      <w:tc>
        <w:tcPr>
          <w:tcW w:w="2552" w:type="dxa"/>
          <w:tcBorders>
            <w:left w:val="single" w:sz="8" w:space="0" w:color="000000"/>
            <w:right w:val="single" w:sz="8" w:space="0" w:color="000000"/>
          </w:tcBorders>
          <w:shd w:val="clear" w:color="auto" w:fill="auto"/>
        </w:tcPr>
        <w:p w:rsidR="00BF75B3" w:rsidRPr="001C3C9E" w:rsidRDefault="00BF75B3" w:rsidP="00EE0AAA">
          <w:pPr>
            <w:pStyle w:val="Cabealho"/>
            <w:snapToGrid w:val="0"/>
            <w:rPr>
              <w:rFonts w:ascii="Times New Roman" w:hAnsi="Times New Roman" w:cs="Times New Roman"/>
              <w:sz w:val="18"/>
              <w:szCs w:val="18"/>
            </w:rPr>
          </w:pPr>
          <w:r>
            <w:rPr>
              <w:rFonts w:ascii="Times New Roman" w:hAnsi="Times New Roman" w:cs="Times New Roman"/>
              <w:sz w:val="18"/>
              <w:szCs w:val="18"/>
            </w:rPr>
            <w:t>Data: 12/05</w:t>
          </w:r>
          <w:r w:rsidRPr="001C3C9E">
            <w:rPr>
              <w:rFonts w:ascii="Times New Roman" w:hAnsi="Times New Roman" w:cs="Times New Roman"/>
              <w:sz w:val="18"/>
              <w:szCs w:val="18"/>
            </w:rPr>
            <w:t>/</w:t>
          </w:r>
          <w:r>
            <w:rPr>
              <w:rFonts w:ascii="Times New Roman" w:hAnsi="Times New Roman" w:cs="Times New Roman"/>
              <w:sz w:val="18"/>
              <w:szCs w:val="18"/>
            </w:rPr>
            <w:t>2016</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BF75B3"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BF75B3" w:rsidRDefault="00BF75B3"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BF75B3" w:rsidRPr="001C3C9E" w:rsidRDefault="00BF75B3" w:rsidP="00D16E1A">
          <w:pPr>
            <w:pStyle w:val="Cabealho"/>
            <w:snapToGrid w:val="0"/>
            <w:rPr>
              <w:rFonts w:ascii="Times New Roman" w:hAnsi="Times New Roman" w:cs="Times New Roman"/>
              <w:sz w:val="18"/>
              <w:szCs w:val="18"/>
            </w:rPr>
          </w:pPr>
          <w:bookmarkStart w:id="0" w:name="_GoBack"/>
          <w:bookmarkEnd w:id="0"/>
        </w:p>
      </w:tc>
    </w:tr>
  </w:tbl>
  <w:p w:rsidR="00BF75B3" w:rsidRPr="001C3C9E" w:rsidRDefault="00BF75B3" w:rsidP="00302FCD">
    <w:pPr>
      <w:pStyle w:val="Cabealho"/>
      <w:rPr>
        <w:rFonts w:ascii="Times New Roman" w:hAnsi="Times New Roman" w:cs="Times New Roman"/>
        <w:sz w:val="18"/>
        <w:szCs w:val="18"/>
      </w:rPr>
    </w:pPr>
  </w:p>
  <w:p w:rsidR="00BF75B3" w:rsidRPr="00E537A2" w:rsidRDefault="00BF75B3">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CA" w:rsidRDefault="004347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F0656E"/>
    <w:multiLevelType w:val="hybridMultilevel"/>
    <w:tmpl w:val="82D6C30E"/>
    <w:lvl w:ilvl="0" w:tplc="6090E3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89D391D"/>
    <w:multiLevelType w:val="hybridMultilevel"/>
    <w:tmpl w:val="B9C2E09C"/>
    <w:lvl w:ilvl="0" w:tplc="0952051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A0723B"/>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3D965B08"/>
    <w:multiLevelType w:val="hybridMultilevel"/>
    <w:tmpl w:val="0584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1A7132"/>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0">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9"/>
  </w:num>
  <w:num w:numId="4">
    <w:abstractNumId w:val="20"/>
  </w:num>
  <w:num w:numId="5">
    <w:abstractNumId w:val="21"/>
  </w:num>
  <w:num w:numId="6">
    <w:abstractNumId w:val="1"/>
  </w:num>
  <w:num w:numId="7">
    <w:abstractNumId w:val="6"/>
  </w:num>
  <w:num w:numId="8">
    <w:abstractNumId w:val="11"/>
  </w:num>
  <w:num w:numId="9">
    <w:abstractNumId w:val="12"/>
  </w:num>
  <w:num w:numId="10">
    <w:abstractNumId w:val="10"/>
  </w:num>
  <w:num w:numId="11">
    <w:abstractNumId w:val="14"/>
  </w:num>
  <w:num w:numId="12">
    <w:abstractNumId w:val="18"/>
  </w:num>
  <w:num w:numId="13">
    <w:abstractNumId w:val="15"/>
  </w:num>
  <w:num w:numId="14">
    <w:abstractNumId w:val="22"/>
  </w:num>
  <w:num w:numId="15">
    <w:abstractNumId w:val="8"/>
  </w:num>
  <w:num w:numId="16">
    <w:abstractNumId w:val="3"/>
  </w:num>
  <w:num w:numId="17">
    <w:abstractNumId w:val="16"/>
  </w:num>
  <w:num w:numId="18">
    <w:abstractNumId w:val="13"/>
  </w:num>
  <w:num w:numId="19">
    <w:abstractNumId w:val="7"/>
  </w:num>
  <w:num w:numId="20">
    <w:abstractNumId w:val="17"/>
  </w:num>
  <w:num w:numId="21">
    <w:abstractNumId w:val="9"/>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2288"/>
    <w:rsid w:val="00004A9B"/>
    <w:rsid w:val="000055B0"/>
    <w:rsid w:val="00005789"/>
    <w:rsid w:val="00006271"/>
    <w:rsid w:val="00006C0D"/>
    <w:rsid w:val="00006D02"/>
    <w:rsid w:val="00007F05"/>
    <w:rsid w:val="00010565"/>
    <w:rsid w:val="00011318"/>
    <w:rsid w:val="00011D49"/>
    <w:rsid w:val="00011E82"/>
    <w:rsid w:val="00011ECD"/>
    <w:rsid w:val="000121FD"/>
    <w:rsid w:val="00014CBD"/>
    <w:rsid w:val="00015684"/>
    <w:rsid w:val="0001642D"/>
    <w:rsid w:val="00017018"/>
    <w:rsid w:val="000173FB"/>
    <w:rsid w:val="00017A5C"/>
    <w:rsid w:val="00021235"/>
    <w:rsid w:val="00021A1E"/>
    <w:rsid w:val="00023022"/>
    <w:rsid w:val="00023411"/>
    <w:rsid w:val="0002389A"/>
    <w:rsid w:val="0002479D"/>
    <w:rsid w:val="000255FF"/>
    <w:rsid w:val="000257EC"/>
    <w:rsid w:val="00030D9F"/>
    <w:rsid w:val="00031DBF"/>
    <w:rsid w:val="0003326D"/>
    <w:rsid w:val="00035340"/>
    <w:rsid w:val="000356C2"/>
    <w:rsid w:val="000358FD"/>
    <w:rsid w:val="00036096"/>
    <w:rsid w:val="000364D3"/>
    <w:rsid w:val="00036ACA"/>
    <w:rsid w:val="00036E0F"/>
    <w:rsid w:val="00037B05"/>
    <w:rsid w:val="00037BBC"/>
    <w:rsid w:val="00037D27"/>
    <w:rsid w:val="0004105E"/>
    <w:rsid w:val="000411B0"/>
    <w:rsid w:val="00041416"/>
    <w:rsid w:val="00042033"/>
    <w:rsid w:val="00043832"/>
    <w:rsid w:val="00043B41"/>
    <w:rsid w:val="00043BFB"/>
    <w:rsid w:val="000444E8"/>
    <w:rsid w:val="00044939"/>
    <w:rsid w:val="00044E8A"/>
    <w:rsid w:val="0004725E"/>
    <w:rsid w:val="0004726F"/>
    <w:rsid w:val="000473EE"/>
    <w:rsid w:val="00047B79"/>
    <w:rsid w:val="00047DAA"/>
    <w:rsid w:val="000511D1"/>
    <w:rsid w:val="000529A6"/>
    <w:rsid w:val="00052B7B"/>
    <w:rsid w:val="000537BC"/>
    <w:rsid w:val="00055C8D"/>
    <w:rsid w:val="0005716D"/>
    <w:rsid w:val="00057270"/>
    <w:rsid w:val="000578A5"/>
    <w:rsid w:val="00060BC6"/>
    <w:rsid w:val="00060F19"/>
    <w:rsid w:val="00062305"/>
    <w:rsid w:val="000623D1"/>
    <w:rsid w:val="0006277D"/>
    <w:rsid w:val="000637A1"/>
    <w:rsid w:val="00064072"/>
    <w:rsid w:val="00064475"/>
    <w:rsid w:val="00064F8D"/>
    <w:rsid w:val="00065875"/>
    <w:rsid w:val="00065C4E"/>
    <w:rsid w:val="00066E11"/>
    <w:rsid w:val="0006784C"/>
    <w:rsid w:val="00071212"/>
    <w:rsid w:val="000719BB"/>
    <w:rsid w:val="00071D55"/>
    <w:rsid w:val="000720F2"/>
    <w:rsid w:val="00072159"/>
    <w:rsid w:val="00073ED1"/>
    <w:rsid w:val="00074A14"/>
    <w:rsid w:val="000755CE"/>
    <w:rsid w:val="00076119"/>
    <w:rsid w:val="000771AD"/>
    <w:rsid w:val="0008008A"/>
    <w:rsid w:val="000800C7"/>
    <w:rsid w:val="00080433"/>
    <w:rsid w:val="00081059"/>
    <w:rsid w:val="000814C5"/>
    <w:rsid w:val="00081647"/>
    <w:rsid w:val="000830DB"/>
    <w:rsid w:val="0008336D"/>
    <w:rsid w:val="00084626"/>
    <w:rsid w:val="00084910"/>
    <w:rsid w:val="00086459"/>
    <w:rsid w:val="000866FE"/>
    <w:rsid w:val="00087267"/>
    <w:rsid w:val="000874DF"/>
    <w:rsid w:val="0009065D"/>
    <w:rsid w:val="000907F4"/>
    <w:rsid w:val="00090E37"/>
    <w:rsid w:val="000913CD"/>
    <w:rsid w:val="00091604"/>
    <w:rsid w:val="00091626"/>
    <w:rsid w:val="00091A51"/>
    <w:rsid w:val="00092D41"/>
    <w:rsid w:val="00093D8A"/>
    <w:rsid w:val="0009437A"/>
    <w:rsid w:val="00094E68"/>
    <w:rsid w:val="00095B5A"/>
    <w:rsid w:val="00096219"/>
    <w:rsid w:val="000967CD"/>
    <w:rsid w:val="000978E3"/>
    <w:rsid w:val="000A0346"/>
    <w:rsid w:val="000A0536"/>
    <w:rsid w:val="000A0BFA"/>
    <w:rsid w:val="000A1254"/>
    <w:rsid w:val="000A17BD"/>
    <w:rsid w:val="000A21DD"/>
    <w:rsid w:val="000A2C03"/>
    <w:rsid w:val="000A3476"/>
    <w:rsid w:val="000A42A7"/>
    <w:rsid w:val="000A5147"/>
    <w:rsid w:val="000B006F"/>
    <w:rsid w:val="000B06B8"/>
    <w:rsid w:val="000B10E2"/>
    <w:rsid w:val="000B17AD"/>
    <w:rsid w:val="000B1A80"/>
    <w:rsid w:val="000B2BBF"/>
    <w:rsid w:val="000B3621"/>
    <w:rsid w:val="000B40BC"/>
    <w:rsid w:val="000B512D"/>
    <w:rsid w:val="000B53F2"/>
    <w:rsid w:val="000B66F6"/>
    <w:rsid w:val="000B7FFA"/>
    <w:rsid w:val="000C0D39"/>
    <w:rsid w:val="000C11DC"/>
    <w:rsid w:val="000C35C7"/>
    <w:rsid w:val="000C3951"/>
    <w:rsid w:val="000C415F"/>
    <w:rsid w:val="000C4C12"/>
    <w:rsid w:val="000C6DFA"/>
    <w:rsid w:val="000D0562"/>
    <w:rsid w:val="000D1054"/>
    <w:rsid w:val="000D1A69"/>
    <w:rsid w:val="000D275D"/>
    <w:rsid w:val="000D3214"/>
    <w:rsid w:val="000D412A"/>
    <w:rsid w:val="000D4A88"/>
    <w:rsid w:val="000D50A4"/>
    <w:rsid w:val="000D5712"/>
    <w:rsid w:val="000D5BBA"/>
    <w:rsid w:val="000D60C5"/>
    <w:rsid w:val="000D60F0"/>
    <w:rsid w:val="000D6627"/>
    <w:rsid w:val="000D66A3"/>
    <w:rsid w:val="000D6ABF"/>
    <w:rsid w:val="000D6F55"/>
    <w:rsid w:val="000D7A6A"/>
    <w:rsid w:val="000E1105"/>
    <w:rsid w:val="000E15E1"/>
    <w:rsid w:val="000E1C1E"/>
    <w:rsid w:val="000E23EA"/>
    <w:rsid w:val="000E257E"/>
    <w:rsid w:val="000E2A31"/>
    <w:rsid w:val="000E325E"/>
    <w:rsid w:val="000E3FB3"/>
    <w:rsid w:val="000E4790"/>
    <w:rsid w:val="000E4CBA"/>
    <w:rsid w:val="000E5023"/>
    <w:rsid w:val="000E5292"/>
    <w:rsid w:val="000E55E2"/>
    <w:rsid w:val="000E5A2E"/>
    <w:rsid w:val="000E657D"/>
    <w:rsid w:val="000F0645"/>
    <w:rsid w:val="000F078C"/>
    <w:rsid w:val="000F22A7"/>
    <w:rsid w:val="000F2D0D"/>
    <w:rsid w:val="000F30B1"/>
    <w:rsid w:val="000F3353"/>
    <w:rsid w:val="000F3774"/>
    <w:rsid w:val="000F39FE"/>
    <w:rsid w:val="000F414B"/>
    <w:rsid w:val="000F4C1A"/>
    <w:rsid w:val="000F56F9"/>
    <w:rsid w:val="000F5DC9"/>
    <w:rsid w:val="000F6F47"/>
    <w:rsid w:val="000F77CD"/>
    <w:rsid w:val="0010003A"/>
    <w:rsid w:val="0010003B"/>
    <w:rsid w:val="00100871"/>
    <w:rsid w:val="00100A8F"/>
    <w:rsid w:val="00101B20"/>
    <w:rsid w:val="00101D74"/>
    <w:rsid w:val="00102808"/>
    <w:rsid w:val="00102A59"/>
    <w:rsid w:val="001033DB"/>
    <w:rsid w:val="0010490F"/>
    <w:rsid w:val="00104C24"/>
    <w:rsid w:val="00104EB7"/>
    <w:rsid w:val="0010559C"/>
    <w:rsid w:val="00105B62"/>
    <w:rsid w:val="001101E7"/>
    <w:rsid w:val="001124E9"/>
    <w:rsid w:val="00112757"/>
    <w:rsid w:val="00113B3F"/>
    <w:rsid w:val="00114C2E"/>
    <w:rsid w:val="001154ED"/>
    <w:rsid w:val="00115A17"/>
    <w:rsid w:val="00115AE2"/>
    <w:rsid w:val="00116A89"/>
    <w:rsid w:val="00117051"/>
    <w:rsid w:val="001173F1"/>
    <w:rsid w:val="00120446"/>
    <w:rsid w:val="001209E9"/>
    <w:rsid w:val="00120C47"/>
    <w:rsid w:val="0012115A"/>
    <w:rsid w:val="0012168F"/>
    <w:rsid w:val="00121FA4"/>
    <w:rsid w:val="00122342"/>
    <w:rsid w:val="00122BE3"/>
    <w:rsid w:val="001230AF"/>
    <w:rsid w:val="001241DE"/>
    <w:rsid w:val="001247C6"/>
    <w:rsid w:val="00124B5F"/>
    <w:rsid w:val="0012702E"/>
    <w:rsid w:val="0012733C"/>
    <w:rsid w:val="00127C60"/>
    <w:rsid w:val="0013137F"/>
    <w:rsid w:val="001319A0"/>
    <w:rsid w:val="00131E35"/>
    <w:rsid w:val="001320A6"/>
    <w:rsid w:val="001326C5"/>
    <w:rsid w:val="001326CC"/>
    <w:rsid w:val="00132828"/>
    <w:rsid w:val="001351F7"/>
    <w:rsid w:val="001355F4"/>
    <w:rsid w:val="00136846"/>
    <w:rsid w:val="00136F7E"/>
    <w:rsid w:val="00136FA3"/>
    <w:rsid w:val="001406CF"/>
    <w:rsid w:val="00140866"/>
    <w:rsid w:val="00140869"/>
    <w:rsid w:val="00141E0A"/>
    <w:rsid w:val="00142060"/>
    <w:rsid w:val="001426E3"/>
    <w:rsid w:val="0014291F"/>
    <w:rsid w:val="00142A6B"/>
    <w:rsid w:val="001437C9"/>
    <w:rsid w:val="0014427E"/>
    <w:rsid w:val="0014555C"/>
    <w:rsid w:val="00145633"/>
    <w:rsid w:val="00146017"/>
    <w:rsid w:val="00146087"/>
    <w:rsid w:val="001468C9"/>
    <w:rsid w:val="00146A81"/>
    <w:rsid w:val="001477E4"/>
    <w:rsid w:val="00150421"/>
    <w:rsid w:val="00150C0A"/>
    <w:rsid w:val="00151364"/>
    <w:rsid w:val="001520B1"/>
    <w:rsid w:val="00152411"/>
    <w:rsid w:val="00153A48"/>
    <w:rsid w:val="00153E0F"/>
    <w:rsid w:val="001540B0"/>
    <w:rsid w:val="00154E1D"/>
    <w:rsid w:val="0015587C"/>
    <w:rsid w:val="00155C4F"/>
    <w:rsid w:val="00156064"/>
    <w:rsid w:val="00156177"/>
    <w:rsid w:val="00157300"/>
    <w:rsid w:val="00157C9E"/>
    <w:rsid w:val="00157D7E"/>
    <w:rsid w:val="001603C5"/>
    <w:rsid w:val="00162509"/>
    <w:rsid w:val="00163896"/>
    <w:rsid w:val="00164851"/>
    <w:rsid w:val="00165CD5"/>
    <w:rsid w:val="00167951"/>
    <w:rsid w:val="00173B95"/>
    <w:rsid w:val="00174288"/>
    <w:rsid w:val="00174BFD"/>
    <w:rsid w:val="0017545A"/>
    <w:rsid w:val="00175651"/>
    <w:rsid w:val="0017567B"/>
    <w:rsid w:val="00175A6A"/>
    <w:rsid w:val="00175B2D"/>
    <w:rsid w:val="001760E5"/>
    <w:rsid w:val="0017696D"/>
    <w:rsid w:val="0017733A"/>
    <w:rsid w:val="00180ABE"/>
    <w:rsid w:val="00180EDA"/>
    <w:rsid w:val="00180F3A"/>
    <w:rsid w:val="00181017"/>
    <w:rsid w:val="0018154D"/>
    <w:rsid w:val="00181F94"/>
    <w:rsid w:val="001828A4"/>
    <w:rsid w:val="001847E5"/>
    <w:rsid w:val="0018512A"/>
    <w:rsid w:val="0018624F"/>
    <w:rsid w:val="00186362"/>
    <w:rsid w:val="0018681C"/>
    <w:rsid w:val="00190068"/>
    <w:rsid w:val="00191B6C"/>
    <w:rsid w:val="00191E1E"/>
    <w:rsid w:val="00191E5A"/>
    <w:rsid w:val="00191FF4"/>
    <w:rsid w:val="001920AE"/>
    <w:rsid w:val="0019259B"/>
    <w:rsid w:val="00192A67"/>
    <w:rsid w:val="0019314E"/>
    <w:rsid w:val="00194CD2"/>
    <w:rsid w:val="0019543C"/>
    <w:rsid w:val="001956D6"/>
    <w:rsid w:val="001968CF"/>
    <w:rsid w:val="00196D62"/>
    <w:rsid w:val="001A10DB"/>
    <w:rsid w:val="001A1FF0"/>
    <w:rsid w:val="001A23E3"/>
    <w:rsid w:val="001A296F"/>
    <w:rsid w:val="001A46BC"/>
    <w:rsid w:val="001A4774"/>
    <w:rsid w:val="001A6142"/>
    <w:rsid w:val="001A6B8E"/>
    <w:rsid w:val="001B145C"/>
    <w:rsid w:val="001B17B3"/>
    <w:rsid w:val="001B1996"/>
    <w:rsid w:val="001B3C98"/>
    <w:rsid w:val="001B626B"/>
    <w:rsid w:val="001B697A"/>
    <w:rsid w:val="001C1CD6"/>
    <w:rsid w:val="001C29CB"/>
    <w:rsid w:val="001C384A"/>
    <w:rsid w:val="001C3ABD"/>
    <w:rsid w:val="001C3C9E"/>
    <w:rsid w:val="001C487B"/>
    <w:rsid w:val="001C4B0A"/>
    <w:rsid w:val="001C5A37"/>
    <w:rsid w:val="001C6209"/>
    <w:rsid w:val="001C6241"/>
    <w:rsid w:val="001C64F4"/>
    <w:rsid w:val="001C7B3E"/>
    <w:rsid w:val="001C7F2A"/>
    <w:rsid w:val="001D0505"/>
    <w:rsid w:val="001D0EF4"/>
    <w:rsid w:val="001D1AD2"/>
    <w:rsid w:val="001D3516"/>
    <w:rsid w:val="001D372A"/>
    <w:rsid w:val="001D3CCA"/>
    <w:rsid w:val="001D3D0A"/>
    <w:rsid w:val="001D5F09"/>
    <w:rsid w:val="001D5F46"/>
    <w:rsid w:val="001D5F5D"/>
    <w:rsid w:val="001D677C"/>
    <w:rsid w:val="001D6B0D"/>
    <w:rsid w:val="001D6F28"/>
    <w:rsid w:val="001D7532"/>
    <w:rsid w:val="001D7553"/>
    <w:rsid w:val="001E0AF8"/>
    <w:rsid w:val="001E2494"/>
    <w:rsid w:val="001E389F"/>
    <w:rsid w:val="001E3968"/>
    <w:rsid w:val="001E4850"/>
    <w:rsid w:val="001E4F56"/>
    <w:rsid w:val="001E5EDD"/>
    <w:rsid w:val="001E5F4D"/>
    <w:rsid w:val="001E6131"/>
    <w:rsid w:val="001E63CF"/>
    <w:rsid w:val="001F0837"/>
    <w:rsid w:val="001F1973"/>
    <w:rsid w:val="001F309B"/>
    <w:rsid w:val="001F3CA3"/>
    <w:rsid w:val="001F3F43"/>
    <w:rsid w:val="001F4009"/>
    <w:rsid w:val="001F4291"/>
    <w:rsid w:val="001F4B29"/>
    <w:rsid w:val="001F5621"/>
    <w:rsid w:val="001F5C73"/>
    <w:rsid w:val="00200AB8"/>
    <w:rsid w:val="002029CE"/>
    <w:rsid w:val="00204423"/>
    <w:rsid w:val="00204578"/>
    <w:rsid w:val="002056B6"/>
    <w:rsid w:val="00205A77"/>
    <w:rsid w:val="002066AE"/>
    <w:rsid w:val="0020710E"/>
    <w:rsid w:val="00207D54"/>
    <w:rsid w:val="00210165"/>
    <w:rsid w:val="002107F8"/>
    <w:rsid w:val="002116FC"/>
    <w:rsid w:val="002124DC"/>
    <w:rsid w:val="0021262C"/>
    <w:rsid w:val="002128FD"/>
    <w:rsid w:val="00212BCD"/>
    <w:rsid w:val="0021331F"/>
    <w:rsid w:val="0021356C"/>
    <w:rsid w:val="0021396B"/>
    <w:rsid w:val="00214278"/>
    <w:rsid w:val="00214B6A"/>
    <w:rsid w:val="0021571B"/>
    <w:rsid w:val="00215B1A"/>
    <w:rsid w:val="0021643E"/>
    <w:rsid w:val="00216A77"/>
    <w:rsid w:val="00216BAF"/>
    <w:rsid w:val="002176D3"/>
    <w:rsid w:val="0022014F"/>
    <w:rsid w:val="0022043E"/>
    <w:rsid w:val="00220896"/>
    <w:rsid w:val="002223BB"/>
    <w:rsid w:val="00223130"/>
    <w:rsid w:val="00225373"/>
    <w:rsid w:val="00225CE7"/>
    <w:rsid w:val="00225E46"/>
    <w:rsid w:val="002267CA"/>
    <w:rsid w:val="00227869"/>
    <w:rsid w:val="00230C36"/>
    <w:rsid w:val="00233130"/>
    <w:rsid w:val="00233495"/>
    <w:rsid w:val="00233B87"/>
    <w:rsid w:val="00233CF8"/>
    <w:rsid w:val="00233E72"/>
    <w:rsid w:val="00234A5C"/>
    <w:rsid w:val="002354B9"/>
    <w:rsid w:val="0023577B"/>
    <w:rsid w:val="00235FA8"/>
    <w:rsid w:val="0023652B"/>
    <w:rsid w:val="00236E68"/>
    <w:rsid w:val="00237140"/>
    <w:rsid w:val="00237B48"/>
    <w:rsid w:val="002404A8"/>
    <w:rsid w:val="00240924"/>
    <w:rsid w:val="00240AA7"/>
    <w:rsid w:val="00240D7D"/>
    <w:rsid w:val="00241D6A"/>
    <w:rsid w:val="002423EF"/>
    <w:rsid w:val="00243FEF"/>
    <w:rsid w:val="00244E0B"/>
    <w:rsid w:val="0024546D"/>
    <w:rsid w:val="002467B1"/>
    <w:rsid w:val="00247409"/>
    <w:rsid w:val="0025068B"/>
    <w:rsid w:val="00250786"/>
    <w:rsid w:val="00250CA1"/>
    <w:rsid w:val="00251988"/>
    <w:rsid w:val="00251ED0"/>
    <w:rsid w:val="0025228A"/>
    <w:rsid w:val="00252561"/>
    <w:rsid w:val="002528D5"/>
    <w:rsid w:val="00253080"/>
    <w:rsid w:val="00254611"/>
    <w:rsid w:val="002559CF"/>
    <w:rsid w:val="002564AE"/>
    <w:rsid w:val="00256EA2"/>
    <w:rsid w:val="00257A5A"/>
    <w:rsid w:val="00261197"/>
    <w:rsid w:val="002627C7"/>
    <w:rsid w:val="002635EE"/>
    <w:rsid w:val="00263635"/>
    <w:rsid w:val="00263688"/>
    <w:rsid w:val="00263F3B"/>
    <w:rsid w:val="002641AB"/>
    <w:rsid w:val="00265632"/>
    <w:rsid w:val="0026565F"/>
    <w:rsid w:val="002656DE"/>
    <w:rsid w:val="00266489"/>
    <w:rsid w:val="00266780"/>
    <w:rsid w:val="00267A5B"/>
    <w:rsid w:val="00267F5A"/>
    <w:rsid w:val="00270441"/>
    <w:rsid w:val="00270A41"/>
    <w:rsid w:val="002714DD"/>
    <w:rsid w:val="00272081"/>
    <w:rsid w:val="00272A23"/>
    <w:rsid w:val="00273745"/>
    <w:rsid w:val="002737D2"/>
    <w:rsid w:val="00273A73"/>
    <w:rsid w:val="00273E6D"/>
    <w:rsid w:val="00274706"/>
    <w:rsid w:val="00274952"/>
    <w:rsid w:val="002749C3"/>
    <w:rsid w:val="002755C0"/>
    <w:rsid w:val="0027625C"/>
    <w:rsid w:val="00280521"/>
    <w:rsid w:val="00280673"/>
    <w:rsid w:val="0028201A"/>
    <w:rsid w:val="00282416"/>
    <w:rsid w:val="00282D42"/>
    <w:rsid w:val="0028331E"/>
    <w:rsid w:val="002839EC"/>
    <w:rsid w:val="0028490E"/>
    <w:rsid w:val="002849B5"/>
    <w:rsid w:val="00285963"/>
    <w:rsid w:val="0028632C"/>
    <w:rsid w:val="00286428"/>
    <w:rsid w:val="00286785"/>
    <w:rsid w:val="0029265E"/>
    <w:rsid w:val="002931A2"/>
    <w:rsid w:val="00294A4B"/>
    <w:rsid w:val="00295413"/>
    <w:rsid w:val="002958A1"/>
    <w:rsid w:val="002959FF"/>
    <w:rsid w:val="00295C94"/>
    <w:rsid w:val="00296224"/>
    <w:rsid w:val="00296510"/>
    <w:rsid w:val="002A2021"/>
    <w:rsid w:val="002A2B96"/>
    <w:rsid w:val="002A2BC2"/>
    <w:rsid w:val="002A2F0C"/>
    <w:rsid w:val="002A3CA0"/>
    <w:rsid w:val="002A6477"/>
    <w:rsid w:val="002A69E1"/>
    <w:rsid w:val="002A6B5F"/>
    <w:rsid w:val="002A6DF8"/>
    <w:rsid w:val="002A707E"/>
    <w:rsid w:val="002A70AC"/>
    <w:rsid w:val="002A7330"/>
    <w:rsid w:val="002B0DF9"/>
    <w:rsid w:val="002B1859"/>
    <w:rsid w:val="002B25A7"/>
    <w:rsid w:val="002B2606"/>
    <w:rsid w:val="002B290D"/>
    <w:rsid w:val="002B2BE9"/>
    <w:rsid w:val="002B3354"/>
    <w:rsid w:val="002B356E"/>
    <w:rsid w:val="002B3A72"/>
    <w:rsid w:val="002B405A"/>
    <w:rsid w:val="002B4F85"/>
    <w:rsid w:val="002B5937"/>
    <w:rsid w:val="002B6062"/>
    <w:rsid w:val="002B62D4"/>
    <w:rsid w:val="002B689B"/>
    <w:rsid w:val="002B7468"/>
    <w:rsid w:val="002B7A6E"/>
    <w:rsid w:val="002C0421"/>
    <w:rsid w:val="002C0807"/>
    <w:rsid w:val="002C19C4"/>
    <w:rsid w:val="002C3FFB"/>
    <w:rsid w:val="002C5166"/>
    <w:rsid w:val="002C53E7"/>
    <w:rsid w:val="002C56B7"/>
    <w:rsid w:val="002C624D"/>
    <w:rsid w:val="002C7EA9"/>
    <w:rsid w:val="002D1E00"/>
    <w:rsid w:val="002D21CE"/>
    <w:rsid w:val="002D3EAE"/>
    <w:rsid w:val="002D4493"/>
    <w:rsid w:val="002D4C8C"/>
    <w:rsid w:val="002D5C00"/>
    <w:rsid w:val="002D5ED1"/>
    <w:rsid w:val="002D639E"/>
    <w:rsid w:val="002D7141"/>
    <w:rsid w:val="002E0044"/>
    <w:rsid w:val="002E0E6B"/>
    <w:rsid w:val="002E1058"/>
    <w:rsid w:val="002E1D7A"/>
    <w:rsid w:val="002E30A7"/>
    <w:rsid w:val="002E346C"/>
    <w:rsid w:val="002E39A9"/>
    <w:rsid w:val="002E4435"/>
    <w:rsid w:val="002E53CE"/>
    <w:rsid w:val="002E57C5"/>
    <w:rsid w:val="002E66EF"/>
    <w:rsid w:val="002E75AD"/>
    <w:rsid w:val="002F001C"/>
    <w:rsid w:val="002F0455"/>
    <w:rsid w:val="002F07E7"/>
    <w:rsid w:val="002F136B"/>
    <w:rsid w:val="002F13C5"/>
    <w:rsid w:val="002F2672"/>
    <w:rsid w:val="002F3843"/>
    <w:rsid w:val="002F416C"/>
    <w:rsid w:val="002F4501"/>
    <w:rsid w:val="002F5914"/>
    <w:rsid w:val="002F5AAC"/>
    <w:rsid w:val="002F611A"/>
    <w:rsid w:val="00300560"/>
    <w:rsid w:val="003006C1"/>
    <w:rsid w:val="00300997"/>
    <w:rsid w:val="00300B4D"/>
    <w:rsid w:val="00301379"/>
    <w:rsid w:val="00301B85"/>
    <w:rsid w:val="00302DAF"/>
    <w:rsid w:val="00302FCD"/>
    <w:rsid w:val="00303D5B"/>
    <w:rsid w:val="00303DC5"/>
    <w:rsid w:val="00304532"/>
    <w:rsid w:val="0030567D"/>
    <w:rsid w:val="00305732"/>
    <w:rsid w:val="00307983"/>
    <w:rsid w:val="003102A8"/>
    <w:rsid w:val="0031124D"/>
    <w:rsid w:val="003114CF"/>
    <w:rsid w:val="003116DC"/>
    <w:rsid w:val="00312DD7"/>
    <w:rsid w:val="0031381A"/>
    <w:rsid w:val="00314031"/>
    <w:rsid w:val="00314C08"/>
    <w:rsid w:val="00315944"/>
    <w:rsid w:val="00315B4A"/>
    <w:rsid w:val="00316510"/>
    <w:rsid w:val="00316A0C"/>
    <w:rsid w:val="00320522"/>
    <w:rsid w:val="00321E97"/>
    <w:rsid w:val="00322E1B"/>
    <w:rsid w:val="0032658E"/>
    <w:rsid w:val="003273C6"/>
    <w:rsid w:val="00327477"/>
    <w:rsid w:val="003309C5"/>
    <w:rsid w:val="00330DBD"/>
    <w:rsid w:val="00333D26"/>
    <w:rsid w:val="00334A4A"/>
    <w:rsid w:val="00334E2D"/>
    <w:rsid w:val="0033662B"/>
    <w:rsid w:val="0033671F"/>
    <w:rsid w:val="0033723A"/>
    <w:rsid w:val="00337A5A"/>
    <w:rsid w:val="00341331"/>
    <w:rsid w:val="0034143E"/>
    <w:rsid w:val="00342624"/>
    <w:rsid w:val="00343CF8"/>
    <w:rsid w:val="00344675"/>
    <w:rsid w:val="00345134"/>
    <w:rsid w:val="003453A9"/>
    <w:rsid w:val="00345692"/>
    <w:rsid w:val="00345D7B"/>
    <w:rsid w:val="0034605A"/>
    <w:rsid w:val="003464AB"/>
    <w:rsid w:val="00347EF6"/>
    <w:rsid w:val="00351556"/>
    <w:rsid w:val="00352228"/>
    <w:rsid w:val="003526CB"/>
    <w:rsid w:val="003535C6"/>
    <w:rsid w:val="00353697"/>
    <w:rsid w:val="0035401F"/>
    <w:rsid w:val="0035403B"/>
    <w:rsid w:val="0035564C"/>
    <w:rsid w:val="00356D67"/>
    <w:rsid w:val="00360100"/>
    <w:rsid w:val="0036060C"/>
    <w:rsid w:val="00360C1E"/>
    <w:rsid w:val="00360C73"/>
    <w:rsid w:val="0036117B"/>
    <w:rsid w:val="003613BC"/>
    <w:rsid w:val="0036157F"/>
    <w:rsid w:val="003615F0"/>
    <w:rsid w:val="00362B7F"/>
    <w:rsid w:val="00362BA9"/>
    <w:rsid w:val="0036307A"/>
    <w:rsid w:val="00363E7D"/>
    <w:rsid w:val="00364F6B"/>
    <w:rsid w:val="00365063"/>
    <w:rsid w:val="0036656D"/>
    <w:rsid w:val="003670E5"/>
    <w:rsid w:val="00367254"/>
    <w:rsid w:val="003676CE"/>
    <w:rsid w:val="00367D4F"/>
    <w:rsid w:val="00370435"/>
    <w:rsid w:val="0037092C"/>
    <w:rsid w:val="00370985"/>
    <w:rsid w:val="00370E5E"/>
    <w:rsid w:val="00371482"/>
    <w:rsid w:val="00371521"/>
    <w:rsid w:val="00372304"/>
    <w:rsid w:val="0037398A"/>
    <w:rsid w:val="003740FE"/>
    <w:rsid w:val="003742C9"/>
    <w:rsid w:val="0037431F"/>
    <w:rsid w:val="00377630"/>
    <w:rsid w:val="003779E6"/>
    <w:rsid w:val="00377E4C"/>
    <w:rsid w:val="003800C8"/>
    <w:rsid w:val="003816D9"/>
    <w:rsid w:val="003823A3"/>
    <w:rsid w:val="00382D44"/>
    <w:rsid w:val="003831F8"/>
    <w:rsid w:val="0038339A"/>
    <w:rsid w:val="00384141"/>
    <w:rsid w:val="00384204"/>
    <w:rsid w:val="0038544B"/>
    <w:rsid w:val="00385AEA"/>
    <w:rsid w:val="00386C93"/>
    <w:rsid w:val="00386F41"/>
    <w:rsid w:val="003901C7"/>
    <w:rsid w:val="003902A7"/>
    <w:rsid w:val="00390870"/>
    <w:rsid w:val="003917C6"/>
    <w:rsid w:val="003941D1"/>
    <w:rsid w:val="00395D0B"/>
    <w:rsid w:val="00396473"/>
    <w:rsid w:val="00397835"/>
    <w:rsid w:val="00397D78"/>
    <w:rsid w:val="003A0243"/>
    <w:rsid w:val="003A0AD2"/>
    <w:rsid w:val="003A1775"/>
    <w:rsid w:val="003A17A5"/>
    <w:rsid w:val="003A2C08"/>
    <w:rsid w:val="003A2D8B"/>
    <w:rsid w:val="003A338D"/>
    <w:rsid w:val="003A41C9"/>
    <w:rsid w:val="003A4F86"/>
    <w:rsid w:val="003A5853"/>
    <w:rsid w:val="003A5899"/>
    <w:rsid w:val="003A5B06"/>
    <w:rsid w:val="003B01B5"/>
    <w:rsid w:val="003B055E"/>
    <w:rsid w:val="003B0832"/>
    <w:rsid w:val="003B1282"/>
    <w:rsid w:val="003B17FE"/>
    <w:rsid w:val="003B2213"/>
    <w:rsid w:val="003B287F"/>
    <w:rsid w:val="003B288A"/>
    <w:rsid w:val="003B32A3"/>
    <w:rsid w:val="003B3BB8"/>
    <w:rsid w:val="003B54A0"/>
    <w:rsid w:val="003B6AA9"/>
    <w:rsid w:val="003B70FE"/>
    <w:rsid w:val="003C02FF"/>
    <w:rsid w:val="003C0682"/>
    <w:rsid w:val="003C1433"/>
    <w:rsid w:val="003C1893"/>
    <w:rsid w:val="003C2343"/>
    <w:rsid w:val="003C23AF"/>
    <w:rsid w:val="003C2854"/>
    <w:rsid w:val="003C39B9"/>
    <w:rsid w:val="003C3FF2"/>
    <w:rsid w:val="003C63A8"/>
    <w:rsid w:val="003D027D"/>
    <w:rsid w:val="003D046C"/>
    <w:rsid w:val="003D08C6"/>
    <w:rsid w:val="003D0913"/>
    <w:rsid w:val="003D0C5E"/>
    <w:rsid w:val="003D15B6"/>
    <w:rsid w:val="003D1B2D"/>
    <w:rsid w:val="003D1DDD"/>
    <w:rsid w:val="003D211B"/>
    <w:rsid w:val="003D28D9"/>
    <w:rsid w:val="003D320A"/>
    <w:rsid w:val="003D3B18"/>
    <w:rsid w:val="003D4611"/>
    <w:rsid w:val="003D49AE"/>
    <w:rsid w:val="003D53FB"/>
    <w:rsid w:val="003D5A26"/>
    <w:rsid w:val="003D672A"/>
    <w:rsid w:val="003D6882"/>
    <w:rsid w:val="003D7480"/>
    <w:rsid w:val="003D7780"/>
    <w:rsid w:val="003E131C"/>
    <w:rsid w:val="003E2598"/>
    <w:rsid w:val="003E26AC"/>
    <w:rsid w:val="003E379C"/>
    <w:rsid w:val="003E5502"/>
    <w:rsid w:val="003E57DE"/>
    <w:rsid w:val="003E5904"/>
    <w:rsid w:val="003E5ED9"/>
    <w:rsid w:val="003E6D7C"/>
    <w:rsid w:val="003E78FD"/>
    <w:rsid w:val="003E79F4"/>
    <w:rsid w:val="003E7C4E"/>
    <w:rsid w:val="003E7F01"/>
    <w:rsid w:val="003F0BB8"/>
    <w:rsid w:val="003F0EEB"/>
    <w:rsid w:val="003F2118"/>
    <w:rsid w:val="003F2D51"/>
    <w:rsid w:val="003F384E"/>
    <w:rsid w:val="003F4F51"/>
    <w:rsid w:val="003F5F1E"/>
    <w:rsid w:val="003F69FC"/>
    <w:rsid w:val="003F6C63"/>
    <w:rsid w:val="003F774C"/>
    <w:rsid w:val="003F78F5"/>
    <w:rsid w:val="003F7B3C"/>
    <w:rsid w:val="00400341"/>
    <w:rsid w:val="00400A42"/>
    <w:rsid w:val="00400F9C"/>
    <w:rsid w:val="004018DE"/>
    <w:rsid w:val="0040227C"/>
    <w:rsid w:val="00403356"/>
    <w:rsid w:val="00403367"/>
    <w:rsid w:val="00404BA3"/>
    <w:rsid w:val="00404CCB"/>
    <w:rsid w:val="00404E6A"/>
    <w:rsid w:val="00405437"/>
    <w:rsid w:val="00406BAF"/>
    <w:rsid w:val="00406E7C"/>
    <w:rsid w:val="00411549"/>
    <w:rsid w:val="0041262B"/>
    <w:rsid w:val="0041306E"/>
    <w:rsid w:val="004134A9"/>
    <w:rsid w:val="00413C95"/>
    <w:rsid w:val="00413F45"/>
    <w:rsid w:val="004140EF"/>
    <w:rsid w:val="00414352"/>
    <w:rsid w:val="00414EA8"/>
    <w:rsid w:val="004151D7"/>
    <w:rsid w:val="00415826"/>
    <w:rsid w:val="00415B6D"/>
    <w:rsid w:val="00417E24"/>
    <w:rsid w:val="00420AF1"/>
    <w:rsid w:val="00420FE2"/>
    <w:rsid w:val="00421384"/>
    <w:rsid w:val="00421EE8"/>
    <w:rsid w:val="00422342"/>
    <w:rsid w:val="004237A2"/>
    <w:rsid w:val="00423EF2"/>
    <w:rsid w:val="004241D0"/>
    <w:rsid w:val="004265D2"/>
    <w:rsid w:val="0042774A"/>
    <w:rsid w:val="004279C5"/>
    <w:rsid w:val="00427C1C"/>
    <w:rsid w:val="00430402"/>
    <w:rsid w:val="00430C91"/>
    <w:rsid w:val="00432BB4"/>
    <w:rsid w:val="00432F48"/>
    <w:rsid w:val="004347CA"/>
    <w:rsid w:val="004357EC"/>
    <w:rsid w:val="00435824"/>
    <w:rsid w:val="00435D29"/>
    <w:rsid w:val="00435F23"/>
    <w:rsid w:val="00436648"/>
    <w:rsid w:val="00437B56"/>
    <w:rsid w:val="0044161D"/>
    <w:rsid w:val="0044163A"/>
    <w:rsid w:val="00442209"/>
    <w:rsid w:val="00442693"/>
    <w:rsid w:val="0044272C"/>
    <w:rsid w:val="00443A76"/>
    <w:rsid w:val="00444623"/>
    <w:rsid w:val="00444942"/>
    <w:rsid w:val="00444B7B"/>
    <w:rsid w:val="00444CAE"/>
    <w:rsid w:val="00444CF6"/>
    <w:rsid w:val="00444E0A"/>
    <w:rsid w:val="00444ECA"/>
    <w:rsid w:val="00445E51"/>
    <w:rsid w:val="00447DD7"/>
    <w:rsid w:val="004509AB"/>
    <w:rsid w:val="00451AB3"/>
    <w:rsid w:val="00451EBE"/>
    <w:rsid w:val="004526BF"/>
    <w:rsid w:val="00452EAA"/>
    <w:rsid w:val="0045310F"/>
    <w:rsid w:val="00453296"/>
    <w:rsid w:val="004541A3"/>
    <w:rsid w:val="0045464C"/>
    <w:rsid w:val="004552AF"/>
    <w:rsid w:val="0045572A"/>
    <w:rsid w:val="0045584E"/>
    <w:rsid w:val="00455FAC"/>
    <w:rsid w:val="00456075"/>
    <w:rsid w:val="00456BC3"/>
    <w:rsid w:val="00456D97"/>
    <w:rsid w:val="00457050"/>
    <w:rsid w:val="00461ACA"/>
    <w:rsid w:val="00462806"/>
    <w:rsid w:val="00462DBD"/>
    <w:rsid w:val="004638DB"/>
    <w:rsid w:val="00463CE1"/>
    <w:rsid w:val="00464CA8"/>
    <w:rsid w:val="004663B3"/>
    <w:rsid w:val="004667B5"/>
    <w:rsid w:val="00466BE8"/>
    <w:rsid w:val="00466EBE"/>
    <w:rsid w:val="00467C2C"/>
    <w:rsid w:val="00471698"/>
    <w:rsid w:val="00474BF6"/>
    <w:rsid w:val="0047566C"/>
    <w:rsid w:val="0047790A"/>
    <w:rsid w:val="00477BD7"/>
    <w:rsid w:val="00480304"/>
    <w:rsid w:val="00480404"/>
    <w:rsid w:val="0048151A"/>
    <w:rsid w:val="00481E33"/>
    <w:rsid w:val="00481F61"/>
    <w:rsid w:val="004825F8"/>
    <w:rsid w:val="00482C57"/>
    <w:rsid w:val="00483017"/>
    <w:rsid w:val="00484000"/>
    <w:rsid w:val="00484E9D"/>
    <w:rsid w:val="00486B43"/>
    <w:rsid w:val="0048764B"/>
    <w:rsid w:val="004879FF"/>
    <w:rsid w:val="00490156"/>
    <w:rsid w:val="00490628"/>
    <w:rsid w:val="004915CA"/>
    <w:rsid w:val="00491B45"/>
    <w:rsid w:val="00492D5F"/>
    <w:rsid w:val="00493B8A"/>
    <w:rsid w:val="00493C05"/>
    <w:rsid w:val="00494C2F"/>
    <w:rsid w:val="0049542D"/>
    <w:rsid w:val="004954C3"/>
    <w:rsid w:val="00495DDB"/>
    <w:rsid w:val="00496CD9"/>
    <w:rsid w:val="004976DD"/>
    <w:rsid w:val="004977DB"/>
    <w:rsid w:val="004A02C8"/>
    <w:rsid w:val="004A02E1"/>
    <w:rsid w:val="004A10E9"/>
    <w:rsid w:val="004A113F"/>
    <w:rsid w:val="004A1AE1"/>
    <w:rsid w:val="004A2278"/>
    <w:rsid w:val="004A2550"/>
    <w:rsid w:val="004A358E"/>
    <w:rsid w:val="004A4E40"/>
    <w:rsid w:val="004A55F3"/>
    <w:rsid w:val="004A5FCD"/>
    <w:rsid w:val="004A71AF"/>
    <w:rsid w:val="004A7407"/>
    <w:rsid w:val="004B0338"/>
    <w:rsid w:val="004B04C8"/>
    <w:rsid w:val="004B0634"/>
    <w:rsid w:val="004B0EDB"/>
    <w:rsid w:val="004B4D7A"/>
    <w:rsid w:val="004B59BF"/>
    <w:rsid w:val="004B602C"/>
    <w:rsid w:val="004B69CD"/>
    <w:rsid w:val="004B7463"/>
    <w:rsid w:val="004B7CC4"/>
    <w:rsid w:val="004C03E2"/>
    <w:rsid w:val="004C09D4"/>
    <w:rsid w:val="004C1EB5"/>
    <w:rsid w:val="004C3573"/>
    <w:rsid w:val="004C3F05"/>
    <w:rsid w:val="004C4098"/>
    <w:rsid w:val="004C4283"/>
    <w:rsid w:val="004C4FDF"/>
    <w:rsid w:val="004C679B"/>
    <w:rsid w:val="004C6FB7"/>
    <w:rsid w:val="004C72E8"/>
    <w:rsid w:val="004C793E"/>
    <w:rsid w:val="004D027A"/>
    <w:rsid w:val="004D03F9"/>
    <w:rsid w:val="004D0519"/>
    <w:rsid w:val="004D0847"/>
    <w:rsid w:val="004D093B"/>
    <w:rsid w:val="004D0D24"/>
    <w:rsid w:val="004D12A0"/>
    <w:rsid w:val="004D1BB1"/>
    <w:rsid w:val="004D2F27"/>
    <w:rsid w:val="004D3280"/>
    <w:rsid w:val="004D3A9F"/>
    <w:rsid w:val="004D3B62"/>
    <w:rsid w:val="004D3BD9"/>
    <w:rsid w:val="004D4AB4"/>
    <w:rsid w:val="004D50B3"/>
    <w:rsid w:val="004D5947"/>
    <w:rsid w:val="004D6476"/>
    <w:rsid w:val="004D6D53"/>
    <w:rsid w:val="004D76D6"/>
    <w:rsid w:val="004D77AD"/>
    <w:rsid w:val="004D79B3"/>
    <w:rsid w:val="004E03F0"/>
    <w:rsid w:val="004E0973"/>
    <w:rsid w:val="004E0A9A"/>
    <w:rsid w:val="004E0C7D"/>
    <w:rsid w:val="004E0F53"/>
    <w:rsid w:val="004E1FFA"/>
    <w:rsid w:val="004E2759"/>
    <w:rsid w:val="004E28F5"/>
    <w:rsid w:val="004E2DAD"/>
    <w:rsid w:val="004E301C"/>
    <w:rsid w:val="004E4A13"/>
    <w:rsid w:val="004E4F8F"/>
    <w:rsid w:val="004E54D3"/>
    <w:rsid w:val="004F1380"/>
    <w:rsid w:val="004F1646"/>
    <w:rsid w:val="004F219B"/>
    <w:rsid w:val="004F260A"/>
    <w:rsid w:val="004F26F1"/>
    <w:rsid w:val="004F28C3"/>
    <w:rsid w:val="004F3352"/>
    <w:rsid w:val="004F3A5D"/>
    <w:rsid w:val="004F3F92"/>
    <w:rsid w:val="004F46C3"/>
    <w:rsid w:val="004F5A65"/>
    <w:rsid w:val="004F5D40"/>
    <w:rsid w:val="004F7181"/>
    <w:rsid w:val="004F7375"/>
    <w:rsid w:val="00500197"/>
    <w:rsid w:val="00500CAD"/>
    <w:rsid w:val="00500F82"/>
    <w:rsid w:val="00501BA2"/>
    <w:rsid w:val="00501F49"/>
    <w:rsid w:val="00503274"/>
    <w:rsid w:val="005043C6"/>
    <w:rsid w:val="00504B84"/>
    <w:rsid w:val="00505006"/>
    <w:rsid w:val="00505F4C"/>
    <w:rsid w:val="00506481"/>
    <w:rsid w:val="00506812"/>
    <w:rsid w:val="00506ED3"/>
    <w:rsid w:val="00507812"/>
    <w:rsid w:val="005078B4"/>
    <w:rsid w:val="00510ADA"/>
    <w:rsid w:val="00510FE9"/>
    <w:rsid w:val="00512C14"/>
    <w:rsid w:val="00512E04"/>
    <w:rsid w:val="005130F7"/>
    <w:rsid w:val="0051433D"/>
    <w:rsid w:val="005154B0"/>
    <w:rsid w:val="005164F2"/>
    <w:rsid w:val="00517E3A"/>
    <w:rsid w:val="005210F1"/>
    <w:rsid w:val="00521ADB"/>
    <w:rsid w:val="005220FC"/>
    <w:rsid w:val="00522AD4"/>
    <w:rsid w:val="00522BC4"/>
    <w:rsid w:val="00523CEC"/>
    <w:rsid w:val="00526C21"/>
    <w:rsid w:val="0053003C"/>
    <w:rsid w:val="00530262"/>
    <w:rsid w:val="00531736"/>
    <w:rsid w:val="0053173D"/>
    <w:rsid w:val="00531853"/>
    <w:rsid w:val="00532D97"/>
    <w:rsid w:val="00533109"/>
    <w:rsid w:val="005333BB"/>
    <w:rsid w:val="0053373C"/>
    <w:rsid w:val="0053586E"/>
    <w:rsid w:val="00535D63"/>
    <w:rsid w:val="00536D4F"/>
    <w:rsid w:val="00536EFF"/>
    <w:rsid w:val="005370C8"/>
    <w:rsid w:val="0054016D"/>
    <w:rsid w:val="005407A2"/>
    <w:rsid w:val="00540ABB"/>
    <w:rsid w:val="00540D03"/>
    <w:rsid w:val="005410D1"/>
    <w:rsid w:val="00543963"/>
    <w:rsid w:val="00545106"/>
    <w:rsid w:val="0054563E"/>
    <w:rsid w:val="00546121"/>
    <w:rsid w:val="00546C49"/>
    <w:rsid w:val="00546EC0"/>
    <w:rsid w:val="005526F5"/>
    <w:rsid w:val="00553033"/>
    <w:rsid w:val="005531FF"/>
    <w:rsid w:val="0055367A"/>
    <w:rsid w:val="005559C9"/>
    <w:rsid w:val="00556B31"/>
    <w:rsid w:val="005578E8"/>
    <w:rsid w:val="00560341"/>
    <w:rsid w:val="00560E93"/>
    <w:rsid w:val="0056161E"/>
    <w:rsid w:val="0056188C"/>
    <w:rsid w:val="00563BD1"/>
    <w:rsid w:val="00563F8A"/>
    <w:rsid w:val="00564696"/>
    <w:rsid w:val="00564B73"/>
    <w:rsid w:val="00564E12"/>
    <w:rsid w:val="00565520"/>
    <w:rsid w:val="00565C95"/>
    <w:rsid w:val="00566C03"/>
    <w:rsid w:val="00567161"/>
    <w:rsid w:val="00567DB1"/>
    <w:rsid w:val="0057042B"/>
    <w:rsid w:val="005707CA"/>
    <w:rsid w:val="00571059"/>
    <w:rsid w:val="005717A1"/>
    <w:rsid w:val="00572940"/>
    <w:rsid w:val="00575383"/>
    <w:rsid w:val="00576C8E"/>
    <w:rsid w:val="00577EA7"/>
    <w:rsid w:val="00582B46"/>
    <w:rsid w:val="00582D25"/>
    <w:rsid w:val="00583750"/>
    <w:rsid w:val="00584085"/>
    <w:rsid w:val="00584587"/>
    <w:rsid w:val="0058487A"/>
    <w:rsid w:val="00584EA6"/>
    <w:rsid w:val="00584F00"/>
    <w:rsid w:val="005850B0"/>
    <w:rsid w:val="005854EF"/>
    <w:rsid w:val="00585A8A"/>
    <w:rsid w:val="005860DD"/>
    <w:rsid w:val="00586E20"/>
    <w:rsid w:val="0058785C"/>
    <w:rsid w:val="00587A56"/>
    <w:rsid w:val="00590652"/>
    <w:rsid w:val="005919A7"/>
    <w:rsid w:val="00597828"/>
    <w:rsid w:val="00597C49"/>
    <w:rsid w:val="005A01C3"/>
    <w:rsid w:val="005A0BE2"/>
    <w:rsid w:val="005A1EB1"/>
    <w:rsid w:val="005A2EF8"/>
    <w:rsid w:val="005A37D1"/>
    <w:rsid w:val="005A44DC"/>
    <w:rsid w:val="005A457F"/>
    <w:rsid w:val="005A46D8"/>
    <w:rsid w:val="005A4ED1"/>
    <w:rsid w:val="005A6F87"/>
    <w:rsid w:val="005A7226"/>
    <w:rsid w:val="005B1814"/>
    <w:rsid w:val="005B1FC3"/>
    <w:rsid w:val="005B2AE2"/>
    <w:rsid w:val="005B395F"/>
    <w:rsid w:val="005B3A3F"/>
    <w:rsid w:val="005B4DF5"/>
    <w:rsid w:val="005B5772"/>
    <w:rsid w:val="005B5E10"/>
    <w:rsid w:val="005C077B"/>
    <w:rsid w:val="005C1288"/>
    <w:rsid w:val="005C1A7F"/>
    <w:rsid w:val="005C1B3E"/>
    <w:rsid w:val="005C3166"/>
    <w:rsid w:val="005C36BD"/>
    <w:rsid w:val="005C4E3F"/>
    <w:rsid w:val="005C54A5"/>
    <w:rsid w:val="005C5FC9"/>
    <w:rsid w:val="005C7D29"/>
    <w:rsid w:val="005D09CD"/>
    <w:rsid w:val="005D15A0"/>
    <w:rsid w:val="005D1D2B"/>
    <w:rsid w:val="005D21A3"/>
    <w:rsid w:val="005D22A5"/>
    <w:rsid w:val="005D2324"/>
    <w:rsid w:val="005D2B4D"/>
    <w:rsid w:val="005D2F73"/>
    <w:rsid w:val="005D2FC9"/>
    <w:rsid w:val="005D3F02"/>
    <w:rsid w:val="005D4632"/>
    <w:rsid w:val="005D4877"/>
    <w:rsid w:val="005D53DD"/>
    <w:rsid w:val="005D5440"/>
    <w:rsid w:val="005D591E"/>
    <w:rsid w:val="005D5B87"/>
    <w:rsid w:val="005D5D1B"/>
    <w:rsid w:val="005E050C"/>
    <w:rsid w:val="005E058B"/>
    <w:rsid w:val="005E0BDF"/>
    <w:rsid w:val="005E1056"/>
    <w:rsid w:val="005E14DA"/>
    <w:rsid w:val="005E1B9A"/>
    <w:rsid w:val="005E1DC7"/>
    <w:rsid w:val="005E1F7E"/>
    <w:rsid w:val="005E2739"/>
    <w:rsid w:val="005E2F15"/>
    <w:rsid w:val="005E4A89"/>
    <w:rsid w:val="005E5E1E"/>
    <w:rsid w:val="005E7CE4"/>
    <w:rsid w:val="005E7DBB"/>
    <w:rsid w:val="005F0482"/>
    <w:rsid w:val="005F0BA3"/>
    <w:rsid w:val="005F0C89"/>
    <w:rsid w:val="005F1498"/>
    <w:rsid w:val="005F26B5"/>
    <w:rsid w:val="005F2BDA"/>
    <w:rsid w:val="005F2D72"/>
    <w:rsid w:val="005F2DFD"/>
    <w:rsid w:val="005F2FAA"/>
    <w:rsid w:val="005F45E3"/>
    <w:rsid w:val="005F47B6"/>
    <w:rsid w:val="005F5571"/>
    <w:rsid w:val="005F55C3"/>
    <w:rsid w:val="005F584F"/>
    <w:rsid w:val="005F603F"/>
    <w:rsid w:val="005F7718"/>
    <w:rsid w:val="006006F0"/>
    <w:rsid w:val="00602327"/>
    <w:rsid w:val="00602B62"/>
    <w:rsid w:val="00602BA8"/>
    <w:rsid w:val="00602C5B"/>
    <w:rsid w:val="00604E94"/>
    <w:rsid w:val="006051EE"/>
    <w:rsid w:val="00612B42"/>
    <w:rsid w:val="006132F3"/>
    <w:rsid w:val="00613448"/>
    <w:rsid w:val="00613476"/>
    <w:rsid w:val="00613B88"/>
    <w:rsid w:val="00613BB4"/>
    <w:rsid w:val="00613EC6"/>
    <w:rsid w:val="00613F03"/>
    <w:rsid w:val="00614FCD"/>
    <w:rsid w:val="0061518A"/>
    <w:rsid w:val="006153CD"/>
    <w:rsid w:val="00615AAB"/>
    <w:rsid w:val="00615E22"/>
    <w:rsid w:val="0061695F"/>
    <w:rsid w:val="00621D46"/>
    <w:rsid w:val="006224BE"/>
    <w:rsid w:val="00622B89"/>
    <w:rsid w:val="00622C57"/>
    <w:rsid w:val="00622C66"/>
    <w:rsid w:val="00622CDE"/>
    <w:rsid w:val="00622E21"/>
    <w:rsid w:val="00623F44"/>
    <w:rsid w:val="006242AB"/>
    <w:rsid w:val="006248CF"/>
    <w:rsid w:val="00624914"/>
    <w:rsid w:val="0062619C"/>
    <w:rsid w:val="00627E46"/>
    <w:rsid w:val="00627EBC"/>
    <w:rsid w:val="00631A43"/>
    <w:rsid w:val="0063226A"/>
    <w:rsid w:val="00632A16"/>
    <w:rsid w:val="00632AC8"/>
    <w:rsid w:val="00634192"/>
    <w:rsid w:val="006352B8"/>
    <w:rsid w:val="00635333"/>
    <w:rsid w:val="006366C1"/>
    <w:rsid w:val="006373FE"/>
    <w:rsid w:val="00637BD7"/>
    <w:rsid w:val="006409B2"/>
    <w:rsid w:val="00640B4F"/>
    <w:rsid w:val="00641007"/>
    <w:rsid w:val="00641526"/>
    <w:rsid w:val="0064168B"/>
    <w:rsid w:val="00642F7A"/>
    <w:rsid w:val="006439D8"/>
    <w:rsid w:val="00644175"/>
    <w:rsid w:val="00644284"/>
    <w:rsid w:val="00644285"/>
    <w:rsid w:val="00644838"/>
    <w:rsid w:val="006451C5"/>
    <w:rsid w:val="00645588"/>
    <w:rsid w:val="006458A7"/>
    <w:rsid w:val="00646E83"/>
    <w:rsid w:val="0064711C"/>
    <w:rsid w:val="006472CA"/>
    <w:rsid w:val="0065032F"/>
    <w:rsid w:val="006505FA"/>
    <w:rsid w:val="00650D6B"/>
    <w:rsid w:val="0065165A"/>
    <w:rsid w:val="00651A42"/>
    <w:rsid w:val="00651DD9"/>
    <w:rsid w:val="00652F1A"/>
    <w:rsid w:val="00653312"/>
    <w:rsid w:val="0065393E"/>
    <w:rsid w:val="00654800"/>
    <w:rsid w:val="006548B1"/>
    <w:rsid w:val="00654C1A"/>
    <w:rsid w:val="00655A76"/>
    <w:rsid w:val="0065681A"/>
    <w:rsid w:val="00656DBA"/>
    <w:rsid w:val="006570A7"/>
    <w:rsid w:val="006611BA"/>
    <w:rsid w:val="00662395"/>
    <w:rsid w:val="00662663"/>
    <w:rsid w:val="006637B6"/>
    <w:rsid w:val="0066386D"/>
    <w:rsid w:val="00663B08"/>
    <w:rsid w:val="00664421"/>
    <w:rsid w:val="00664D0C"/>
    <w:rsid w:val="0066751B"/>
    <w:rsid w:val="006714F7"/>
    <w:rsid w:val="00672245"/>
    <w:rsid w:val="00672B50"/>
    <w:rsid w:val="006737BD"/>
    <w:rsid w:val="006741D0"/>
    <w:rsid w:val="00675206"/>
    <w:rsid w:val="00675500"/>
    <w:rsid w:val="00675FB4"/>
    <w:rsid w:val="006776FE"/>
    <w:rsid w:val="0068050D"/>
    <w:rsid w:val="00680826"/>
    <w:rsid w:val="00680833"/>
    <w:rsid w:val="0068129A"/>
    <w:rsid w:val="00681E21"/>
    <w:rsid w:val="0068213F"/>
    <w:rsid w:val="0068233F"/>
    <w:rsid w:val="0068283A"/>
    <w:rsid w:val="00683213"/>
    <w:rsid w:val="00683750"/>
    <w:rsid w:val="006838CC"/>
    <w:rsid w:val="00683E5D"/>
    <w:rsid w:val="00684089"/>
    <w:rsid w:val="00684ABF"/>
    <w:rsid w:val="00685747"/>
    <w:rsid w:val="00686E27"/>
    <w:rsid w:val="006872B0"/>
    <w:rsid w:val="0068731F"/>
    <w:rsid w:val="006876F6"/>
    <w:rsid w:val="00690C25"/>
    <w:rsid w:val="00691C3A"/>
    <w:rsid w:val="0069239F"/>
    <w:rsid w:val="00692F13"/>
    <w:rsid w:val="00693063"/>
    <w:rsid w:val="00693C15"/>
    <w:rsid w:val="006945E5"/>
    <w:rsid w:val="00695A46"/>
    <w:rsid w:val="006965A0"/>
    <w:rsid w:val="00696875"/>
    <w:rsid w:val="006A074C"/>
    <w:rsid w:val="006A2232"/>
    <w:rsid w:val="006A2586"/>
    <w:rsid w:val="006A270F"/>
    <w:rsid w:val="006A2C3C"/>
    <w:rsid w:val="006A3192"/>
    <w:rsid w:val="006A3AC5"/>
    <w:rsid w:val="006A3EA0"/>
    <w:rsid w:val="006A701A"/>
    <w:rsid w:val="006A7793"/>
    <w:rsid w:val="006B0314"/>
    <w:rsid w:val="006B03FB"/>
    <w:rsid w:val="006B1005"/>
    <w:rsid w:val="006B142E"/>
    <w:rsid w:val="006B1575"/>
    <w:rsid w:val="006B274B"/>
    <w:rsid w:val="006B2C45"/>
    <w:rsid w:val="006B53DA"/>
    <w:rsid w:val="006B5A4F"/>
    <w:rsid w:val="006B6899"/>
    <w:rsid w:val="006B7415"/>
    <w:rsid w:val="006B7416"/>
    <w:rsid w:val="006C0014"/>
    <w:rsid w:val="006C0AD7"/>
    <w:rsid w:val="006C1D7C"/>
    <w:rsid w:val="006C1F3B"/>
    <w:rsid w:val="006C28CD"/>
    <w:rsid w:val="006C2E1F"/>
    <w:rsid w:val="006C45A6"/>
    <w:rsid w:val="006C4616"/>
    <w:rsid w:val="006C506A"/>
    <w:rsid w:val="006C51B6"/>
    <w:rsid w:val="006C704A"/>
    <w:rsid w:val="006C7E75"/>
    <w:rsid w:val="006C7E85"/>
    <w:rsid w:val="006D10FC"/>
    <w:rsid w:val="006D1503"/>
    <w:rsid w:val="006D18FB"/>
    <w:rsid w:val="006D25ED"/>
    <w:rsid w:val="006D34D8"/>
    <w:rsid w:val="006D38E2"/>
    <w:rsid w:val="006D3ED5"/>
    <w:rsid w:val="006D4F4B"/>
    <w:rsid w:val="006D4FCA"/>
    <w:rsid w:val="006D6607"/>
    <w:rsid w:val="006D6750"/>
    <w:rsid w:val="006D76AB"/>
    <w:rsid w:val="006D7C25"/>
    <w:rsid w:val="006E11D0"/>
    <w:rsid w:val="006E14D2"/>
    <w:rsid w:val="006E1EBB"/>
    <w:rsid w:val="006E2B09"/>
    <w:rsid w:val="006E3934"/>
    <w:rsid w:val="006E486B"/>
    <w:rsid w:val="006E48E8"/>
    <w:rsid w:val="006E4AC9"/>
    <w:rsid w:val="006E5506"/>
    <w:rsid w:val="006E5C8B"/>
    <w:rsid w:val="006E653C"/>
    <w:rsid w:val="006E66D9"/>
    <w:rsid w:val="006E73A4"/>
    <w:rsid w:val="006E7BDE"/>
    <w:rsid w:val="006F00B4"/>
    <w:rsid w:val="006F03A8"/>
    <w:rsid w:val="006F0AE5"/>
    <w:rsid w:val="006F0B43"/>
    <w:rsid w:val="006F0E6D"/>
    <w:rsid w:val="006F1860"/>
    <w:rsid w:val="006F202A"/>
    <w:rsid w:val="006F43D2"/>
    <w:rsid w:val="006F46A8"/>
    <w:rsid w:val="006F4BCE"/>
    <w:rsid w:val="006F4C87"/>
    <w:rsid w:val="006F4FE6"/>
    <w:rsid w:val="006F5875"/>
    <w:rsid w:val="006F5B9F"/>
    <w:rsid w:val="0070051C"/>
    <w:rsid w:val="007005B2"/>
    <w:rsid w:val="00700937"/>
    <w:rsid w:val="00701436"/>
    <w:rsid w:val="0070221D"/>
    <w:rsid w:val="0070394D"/>
    <w:rsid w:val="007040A5"/>
    <w:rsid w:val="00704E1C"/>
    <w:rsid w:val="00704EE7"/>
    <w:rsid w:val="0070535B"/>
    <w:rsid w:val="00705B55"/>
    <w:rsid w:val="00707B47"/>
    <w:rsid w:val="007100FE"/>
    <w:rsid w:val="007103EB"/>
    <w:rsid w:val="007106BF"/>
    <w:rsid w:val="007113F3"/>
    <w:rsid w:val="007126FB"/>
    <w:rsid w:val="00712CA0"/>
    <w:rsid w:val="007132CE"/>
    <w:rsid w:val="00714638"/>
    <w:rsid w:val="007150FF"/>
    <w:rsid w:val="007155B3"/>
    <w:rsid w:val="00715741"/>
    <w:rsid w:val="00715DE8"/>
    <w:rsid w:val="007161B4"/>
    <w:rsid w:val="00717147"/>
    <w:rsid w:val="007171FB"/>
    <w:rsid w:val="00717241"/>
    <w:rsid w:val="00717363"/>
    <w:rsid w:val="0071738E"/>
    <w:rsid w:val="00720260"/>
    <w:rsid w:val="00723574"/>
    <w:rsid w:val="00724E79"/>
    <w:rsid w:val="00725B0F"/>
    <w:rsid w:val="00725D53"/>
    <w:rsid w:val="007270B2"/>
    <w:rsid w:val="007310F6"/>
    <w:rsid w:val="007311D5"/>
    <w:rsid w:val="00731768"/>
    <w:rsid w:val="00731D6A"/>
    <w:rsid w:val="00732C5C"/>
    <w:rsid w:val="00733AA9"/>
    <w:rsid w:val="0073403B"/>
    <w:rsid w:val="00734408"/>
    <w:rsid w:val="00735875"/>
    <w:rsid w:val="00736063"/>
    <w:rsid w:val="00736E80"/>
    <w:rsid w:val="007371DB"/>
    <w:rsid w:val="0074027D"/>
    <w:rsid w:val="007403FE"/>
    <w:rsid w:val="00740A64"/>
    <w:rsid w:val="0074250B"/>
    <w:rsid w:val="007431C9"/>
    <w:rsid w:val="0074327E"/>
    <w:rsid w:val="00743613"/>
    <w:rsid w:val="007441BE"/>
    <w:rsid w:val="00744683"/>
    <w:rsid w:val="00745837"/>
    <w:rsid w:val="007459D3"/>
    <w:rsid w:val="00746012"/>
    <w:rsid w:val="0074764E"/>
    <w:rsid w:val="00750C83"/>
    <w:rsid w:val="00751150"/>
    <w:rsid w:val="00751310"/>
    <w:rsid w:val="00751391"/>
    <w:rsid w:val="00752C22"/>
    <w:rsid w:val="00752F6E"/>
    <w:rsid w:val="00753165"/>
    <w:rsid w:val="0075343F"/>
    <w:rsid w:val="0075364B"/>
    <w:rsid w:val="00755664"/>
    <w:rsid w:val="007556DE"/>
    <w:rsid w:val="007564FB"/>
    <w:rsid w:val="00757E10"/>
    <w:rsid w:val="00760719"/>
    <w:rsid w:val="00760A6A"/>
    <w:rsid w:val="0076304B"/>
    <w:rsid w:val="007637EC"/>
    <w:rsid w:val="00764A0B"/>
    <w:rsid w:val="00765899"/>
    <w:rsid w:val="00766E84"/>
    <w:rsid w:val="00767AB5"/>
    <w:rsid w:val="0077110C"/>
    <w:rsid w:val="00771742"/>
    <w:rsid w:val="00771993"/>
    <w:rsid w:val="007727C7"/>
    <w:rsid w:val="007730FF"/>
    <w:rsid w:val="00773AC1"/>
    <w:rsid w:val="007744D6"/>
    <w:rsid w:val="0077480D"/>
    <w:rsid w:val="0077666C"/>
    <w:rsid w:val="00776CB7"/>
    <w:rsid w:val="00777DAA"/>
    <w:rsid w:val="00777DF5"/>
    <w:rsid w:val="00777E44"/>
    <w:rsid w:val="00780C25"/>
    <w:rsid w:val="00781765"/>
    <w:rsid w:val="00781953"/>
    <w:rsid w:val="007838E2"/>
    <w:rsid w:val="0078410A"/>
    <w:rsid w:val="00784FE7"/>
    <w:rsid w:val="0078500F"/>
    <w:rsid w:val="0078522C"/>
    <w:rsid w:val="00786306"/>
    <w:rsid w:val="0078638C"/>
    <w:rsid w:val="00786B3D"/>
    <w:rsid w:val="007871EA"/>
    <w:rsid w:val="00787EBF"/>
    <w:rsid w:val="00790596"/>
    <w:rsid w:val="00790F10"/>
    <w:rsid w:val="0079162D"/>
    <w:rsid w:val="007920AF"/>
    <w:rsid w:val="00792D3A"/>
    <w:rsid w:val="00793A02"/>
    <w:rsid w:val="00795118"/>
    <w:rsid w:val="00795E1A"/>
    <w:rsid w:val="00796BE9"/>
    <w:rsid w:val="00796D8B"/>
    <w:rsid w:val="007A0039"/>
    <w:rsid w:val="007A0B10"/>
    <w:rsid w:val="007A1861"/>
    <w:rsid w:val="007A1AD4"/>
    <w:rsid w:val="007A1D9E"/>
    <w:rsid w:val="007A2647"/>
    <w:rsid w:val="007A3336"/>
    <w:rsid w:val="007A3ED8"/>
    <w:rsid w:val="007A4E0D"/>
    <w:rsid w:val="007A59D2"/>
    <w:rsid w:val="007A66DD"/>
    <w:rsid w:val="007A6A23"/>
    <w:rsid w:val="007B0076"/>
    <w:rsid w:val="007B00DB"/>
    <w:rsid w:val="007B0830"/>
    <w:rsid w:val="007B0FCC"/>
    <w:rsid w:val="007B2201"/>
    <w:rsid w:val="007B235B"/>
    <w:rsid w:val="007B2757"/>
    <w:rsid w:val="007B2D9C"/>
    <w:rsid w:val="007B32C8"/>
    <w:rsid w:val="007B4248"/>
    <w:rsid w:val="007B50A4"/>
    <w:rsid w:val="007B5C41"/>
    <w:rsid w:val="007C060C"/>
    <w:rsid w:val="007C29B4"/>
    <w:rsid w:val="007C2A14"/>
    <w:rsid w:val="007C3091"/>
    <w:rsid w:val="007C37DE"/>
    <w:rsid w:val="007C43BB"/>
    <w:rsid w:val="007C5358"/>
    <w:rsid w:val="007C6491"/>
    <w:rsid w:val="007C6707"/>
    <w:rsid w:val="007C68C4"/>
    <w:rsid w:val="007C7D5D"/>
    <w:rsid w:val="007D0670"/>
    <w:rsid w:val="007D0B49"/>
    <w:rsid w:val="007D2258"/>
    <w:rsid w:val="007D2589"/>
    <w:rsid w:val="007D2E38"/>
    <w:rsid w:val="007D3978"/>
    <w:rsid w:val="007D3A73"/>
    <w:rsid w:val="007D418D"/>
    <w:rsid w:val="007D48E9"/>
    <w:rsid w:val="007D760E"/>
    <w:rsid w:val="007D7763"/>
    <w:rsid w:val="007E00B7"/>
    <w:rsid w:val="007E0607"/>
    <w:rsid w:val="007E2047"/>
    <w:rsid w:val="007E33A3"/>
    <w:rsid w:val="007E3997"/>
    <w:rsid w:val="007E3DA0"/>
    <w:rsid w:val="007E3E2D"/>
    <w:rsid w:val="007E3FE0"/>
    <w:rsid w:val="007E62F5"/>
    <w:rsid w:val="007F1C88"/>
    <w:rsid w:val="007F1CF9"/>
    <w:rsid w:val="007F27E1"/>
    <w:rsid w:val="007F2A3A"/>
    <w:rsid w:val="007F3EFA"/>
    <w:rsid w:val="007F439C"/>
    <w:rsid w:val="007F454D"/>
    <w:rsid w:val="007F4CEB"/>
    <w:rsid w:val="007F675C"/>
    <w:rsid w:val="007F6D62"/>
    <w:rsid w:val="00800EDD"/>
    <w:rsid w:val="008020D6"/>
    <w:rsid w:val="008027BE"/>
    <w:rsid w:val="00803088"/>
    <w:rsid w:val="0080388C"/>
    <w:rsid w:val="008041AA"/>
    <w:rsid w:val="00804413"/>
    <w:rsid w:val="00805A34"/>
    <w:rsid w:val="00806371"/>
    <w:rsid w:val="00806818"/>
    <w:rsid w:val="00810284"/>
    <w:rsid w:val="00810729"/>
    <w:rsid w:val="008118BF"/>
    <w:rsid w:val="0081303D"/>
    <w:rsid w:val="008130CA"/>
    <w:rsid w:val="0081384A"/>
    <w:rsid w:val="008140C3"/>
    <w:rsid w:val="00815D7B"/>
    <w:rsid w:val="008161F3"/>
    <w:rsid w:val="008164DD"/>
    <w:rsid w:val="0081691B"/>
    <w:rsid w:val="00816D55"/>
    <w:rsid w:val="00816E62"/>
    <w:rsid w:val="00816EB9"/>
    <w:rsid w:val="00820222"/>
    <w:rsid w:val="00820383"/>
    <w:rsid w:val="008207CA"/>
    <w:rsid w:val="00821FFF"/>
    <w:rsid w:val="008231B0"/>
    <w:rsid w:val="008233E9"/>
    <w:rsid w:val="008236AC"/>
    <w:rsid w:val="00823B78"/>
    <w:rsid w:val="00824007"/>
    <w:rsid w:val="008246E6"/>
    <w:rsid w:val="00824E8D"/>
    <w:rsid w:val="00825503"/>
    <w:rsid w:val="00825D6E"/>
    <w:rsid w:val="00825F7A"/>
    <w:rsid w:val="00826A3D"/>
    <w:rsid w:val="008276A8"/>
    <w:rsid w:val="00827B64"/>
    <w:rsid w:val="00827D0F"/>
    <w:rsid w:val="0083018F"/>
    <w:rsid w:val="00830A8D"/>
    <w:rsid w:val="0083211D"/>
    <w:rsid w:val="00833489"/>
    <w:rsid w:val="0083410C"/>
    <w:rsid w:val="00834593"/>
    <w:rsid w:val="00835326"/>
    <w:rsid w:val="00835394"/>
    <w:rsid w:val="0083584E"/>
    <w:rsid w:val="008362FA"/>
    <w:rsid w:val="00836783"/>
    <w:rsid w:val="00840453"/>
    <w:rsid w:val="00840557"/>
    <w:rsid w:val="008411D4"/>
    <w:rsid w:val="00841A53"/>
    <w:rsid w:val="00841E1D"/>
    <w:rsid w:val="00841FF2"/>
    <w:rsid w:val="00842342"/>
    <w:rsid w:val="00843596"/>
    <w:rsid w:val="00843DE7"/>
    <w:rsid w:val="0084403A"/>
    <w:rsid w:val="00844E38"/>
    <w:rsid w:val="00846594"/>
    <w:rsid w:val="00846ABA"/>
    <w:rsid w:val="00847471"/>
    <w:rsid w:val="008506DB"/>
    <w:rsid w:val="00851045"/>
    <w:rsid w:val="00852679"/>
    <w:rsid w:val="008540E3"/>
    <w:rsid w:val="00854503"/>
    <w:rsid w:val="00855BD1"/>
    <w:rsid w:val="00856ABC"/>
    <w:rsid w:val="00856FD2"/>
    <w:rsid w:val="008571EA"/>
    <w:rsid w:val="008579CA"/>
    <w:rsid w:val="00860C79"/>
    <w:rsid w:val="00860F13"/>
    <w:rsid w:val="008616D1"/>
    <w:rsid w:val="0086173C"/>
    <w:rsid w:val="0086271E"/>
    <w:rsid w:val="00862FBE"/>
    <w:rsid w:val="00863262"/>
    <w:rsid w:val="008636DB"/>
    <w:rsid w:val="00863AAE"/>
    <w:rsid w:val="00863BE5"/>
    <w:rsid w:val="00863D33"/>
    <w:rsid w:val="0086564D"/>
    <w:rsid w:val="008657AE"/>
    <w:rsid w:val="00866146"/>
    <w:rsid w:val="0086643F"/>
    <w:rsid w:val="008668F0"/>
    <w:rsid w:val="00870AD7"/>
    <w:rsid w:val="00871DD5"/>
    <w:rsid w:val="00872EFB"/>
    <w:rsid w:val="00873178"/>
    <w:rsid w:val="00874263"/>
    <w:rsid w:val="0087480A"/>
    <w:rsid w:val="00876C33"/>
    <w:rsid w:val="00877187"/>
    <w:rsid w:val="008773A4"/>
    <w:rsid w:val="00877A08"/>
    <w:rsid w:val="00877AC8"/>
    <w:rsid w:val="00877F6C"/>
    <w:rsid w:val="00882655"/>
    <w:rsid w:val="00883411"/>
    <w:rsid w:val="00884643"/>
    <w:rsid w:val="008846B6"/>
    <w:rsid w:val="00884835"/>
    <w:rsid w:val="00884E97"/>
    <w:rsid w:val="00885644"/>
    <w:rsid w:val="008856B1"/>
    <w:rsid w:val="00885998"/>
    <w:rsid w:val="00887D86"/>
    <w:rsid w:val="00887FD8"/>
    <w:rsid w:val="0089032B"/>
    <w:rsid w:val="00890621"/>
    <w:rsid w:val="008909C0"/>
    <w:rsid w:val="00890CD0"/>
    <w:rsid w:val="0089110D"/>
    <w:rsid w:val="00891D35"/>
    <w:rsid w:val="00891D4E"/>
    <w:rsid w:val="00891E54"/>
    <w:rsid w:val="0089323B"/>
    <w:rsid w:val="00893DE7"/>
    <w:rsid w:val="00894554"/>
    <w:rsid w:val="00894A3C"/>
    <w:rsid w:val="008962A8"/>
    <w:rsid w:val="00896671"/>
    <w:rsid w:val="00897150"/>
    <w:rsid w:val="008973E4"/>
    <w:rsid w:val="00897D90"/>
    <w:rsid w:val="008A0C4C"/>
    <w:rsid w:val="008A2B19"/>
    <w:rsid w:val="008A370B"/>
    <w:rsid w:val="008A3962"/>
    <w:rsid w:val="008A72EC"/>
    <w:rsid w:val="008A754D"/>
    <w:rsid w:val="008B0035"/>
    <w:rsid w:val="008B04F3"/>
    <w:rsid w:val="008B0A69"/>
    <w:rsid w:val="008B0B34"/>
    <w:rsid w:val="008B1870"/>
    <w:rsid w:val="008B1E58"/>
    <w:rsid w:val="008B2298"/>
    <w:rsid w:val="008B2817"/>
    <w:rsid w:val="008B2D0C"/>
    <w:rsid w:val="008B376A"/>
    <w:rsid w:val="008B3AA9"/>
    <w:rsid w:val="008B545D"/>
    <w:rsid w:val="008B7825"/>
    <w:rsid w:val="008C0E4F"/>
    <w:rsid w:val="008C1E46"/>
    <w:rsid w:val="008C230D"/>
    <w:rsid w:val="008C2B88"/>
    <w:rsid w:val="008C2F03"/>
    <w:rsid w:val="008C3933"/>
    <w:rsid w:val="008C3B59"/>
    <w:rsid w:val="008C3DE6"/>
    <w:rsid w:val="008C48C6"/>
    <w:rsid w:val="008C5DDA"/>
    <w:rsid w:val="008C5DEF"/>
    <w:rsid w:val="008C7256"/>
    <w:rsid w:val="008C7529"/>
    <w:rsid w:val="008C76F5"/>
    <w:rsid w:val="008D09CB"/>
    <w:rsid w:val="008D0AB1"/>
    <w:rsid w:val="008D0C93"/>
    <w:rsid w:val="008D14DE"/>
    <w:rsid w:val="008D1517"/>
    <w:rsid w:val="008D1531"/>
    <w:rsid w:val="008D1802"/>
    <w:rsid w:val="008D220B"/>
    <w:rsid w:val="008D24D2"/>
    <w:rsid w:val="008D2771"/>
    <w:rsid w:val="008D337D"/>
    <w:rsid w:val="008D3C5A"/>
    <w:rsid w:val="008D4306"/>
    <w:rsid w:val="008D438D"/>
    <w:rsid w:val="008D46C2"/>
    <w:rsid w:val="008D57C6"/>
    <w:rsid w:val="008D5C8C"/>
    <w:rsid w:val="008D6BD7"/>
    <w:rsid w:val="008D6D17"/>
    <w:rsid w:val="008D71AE"/>
    <w:rsid w:val="008E0015"/>
    <w:rsid w:val="008E1730"/>
    <w:rsid w:val="008E1AA6"/>
    <w:rsid w:val="008E2DB3"/>
    <w:rsid w:val="008E41ED"/>
    <w:rsid w:val="008E4635"/>
    <w:rsid w:val="008E4D10"/>
    <w:rsid w:val="008E58A9"/>
    <w:rsid w:val="008E5DC7"/>
    <w:rsid w:val="008E733D"/>
    <w:rsid w:val="008E7C3D"/>
    <w:rsid w:val="008F0436"/>
    <w:rsid w:val="008F0A5D"/>
    <w:rsid w:val="008F20DC"/>
    <w:rsid w:val="008F24F7"/>
    <w:rsid w:val="008F38A3"/>
    <w:rsid w:val="008F3D1E"/>
    <w:rsid w:val="008F5468"/>
    <w:rsid w:val="008F57F3"/>
    <w:rsid w:val="008F716D"/>
    <w:rsid w:val="008F72AD"/>
    <w:rsid w:val="008F78B1"/>
    <w:rsid w:val="008F7D68"/>
    <w:rsid w:val="009010CE"/>
    <w:rsid w:val="00901FAB"/>
    <w:rsid w:val="0090217D"/>
    <w:rsid w:val="00902B4C"/>
    <w:rsid w:val="009030F8"/>
    <w:rsid w:val="0090310D"/>
    <w:rsid w:val="0090314E"/>
    <w:rsid w:val="0090354B"/>
    <w:rsid w:val="009036CD"/>
    <w:rsid w:val="009058F3"/>
    <w:rsid w:val="00906DDB"/>
    <w:rsid w:val="0090722B"/>
    <w:rsid w:val="00907D88"/>
    <w:rsid w:val="00910AED"/>
    <w:rsid w:val="00910D21"/>
    <w:rsid w:val="00910F0F"/>
    <w:rsid w:val="009114CC"/>
    <w:rsid w:val="009119DB"/>
    <w:rsid w:val="00911AF7"/>
    <w:rsid w:val="00911DC6"/>
    <w:rsid w:val="0091215C"/>
    <w:rsid w:val="00913189"/>
    <w:rsid w:val="009148C2"/>
    <w:rsid w:val="00914CE1"/>
    <w:rsid w:val="009163CB"/>
    <w:rsid w:val="00916D8F"/>
    <w:rsid w:val="009174A3"/>
    <w:rsid w:val="00920CE4"/>
    <w:rsid w:val="00921770"/>
    <w:rsid w:val="00921D70"/>
    <w:rsid w:val="00921E8B"/>
    <w:rsid w:val="00921F8A"/>
    <w:rsid w:val="00921FB2"/>
    <w:rsid w:val="009222A6"/>
    <w:rsid w:val="00922D18"/>
    <w:rsid w:val="00923A2F"/>
    <w:rsid w:val="009242E7"/>
    <w:rsid w:val="00924332"/>
    <w:rsid w:val="00924812"/>
    <w:rsid w:val="00927384"/>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2A68"/>
    <w:rsid w:val="00942CB5"/>
    <w:rsid w:val="00942D0D"/>
    <w:rsid w:val="009430DF"/>
    <w:rsid w:val="00943403"/>
    <w:rsid w:val="009437A1"/>
    <w:rsid w:val="0094380B"/>
    <w:rsid w:val="0094426A"/>
    <w:rsid w:val="00944A1D"/>
    <w:rsid w:val="00945433"/>
    <w:rsid w:val="00945CC1"/>
    <w:rsid w:val="00946628"/>
    <w:rsid w:val="00946CB3"/>
    <w:rsid w:val="00946D82"/>
    <w:rsid w:val="00947267"/>
    <w:rsid w:val="00950C9A"/>
    <w:rsid w:val="00951764"/>
    <w:rsid w:val="00951E1D"/>
    <w:rsid w:val="00951E4B"/>
    <w:rsid w:val="009524DD"/>
    <w:rsid w:val="00952E9F"/>
    <w:rsid w:val="00954CCD"/>
    <w:rsid w:val="009556AA"/>
    <w:rsid w:val="0095612B"/>
    <w:rsid w:val="009567B4"/>
    <w:rsid w:val="00956A5C"/>
    <w:rsid w:val="00956FBE"/>
    <w:rsid w:val="009579DD"/>
    <w:rsid w:val="00957BD7"/>
    <w:rsid w:val="0096137F"/>
    <w:rsid w:val="0096224A"/>
    <w:rsid w:val="0096361D"/>
    <w:rsid w:val="009640B1"/>
    <w:rsid w:val="009654ED"/>
    <w:rsid w:val="00966D9B"/>
    <w:rsid w:val="0097107E"/>
    <w:rsid w:val="00971B8E"/>
    <w:rsid w:val="00971F1E"/>
    <w:rsid w:val="00972415"/>
    <w:rsid w:val="00972E66"/>
    <w:rsid w:val="0097308F"/>
    <w:rsid w:val="00973917"/>
    <w:rsid w:val="00974E0C"/>
    <w:rsid w:val="00974FD3"/>
    <w:rsid w:val="00975D83"/>
    <w:rsid w:val="00976663"/>
    <w:rsid w:val="00976811"/>
    <w:rsid w:val="00976D1B"/>
    <w:rsid w:val="009773A7"/>
    <w:rsid w:val="009773FC"/>
    <w:rsid w:val="00980797"/>
    <w:rsid w:val="00980B5A"/>
    <w:rsid w:val="00981824"/>
    <w:rsid w:val="00981983"/>
    <w:rsid w:val="00981A13"/>
    <w:rsid w:val="00981B52"/>
    <w:rsid w:val="009822AA"/>
    <w:rsid w:val="009823E7"/>
    <w:rsid w:val="00982E53"/>
    <w:rsid w:val="00982F13"/>
    <w:rsid w:val="009833F5"/>
    <w:rsid w:val="00983531"/>
    <w:rsid w:val="0098378F"/>
    <w:rsid w:val="009838FE"/>
    <w:rsid w:val="009850DE"/>
    <w:rsid w:val="009861A1"/>
    <w:rsid w:val="0098732B"/>
    <w:rsid w:val="00987CE9"/>
    <w:rsid w:val="00987F0A"/>
    <w:rsid w:val="00990590"/>
    <w:rsid w:val="0099078F"/>
    <w:rsid w:val="009907C3"/>
    <w:rsid w:val="00990A1C"/>
    <w:rsid w:val="00991A8A"/>
    <w:rsid w:val="009929F7"/>
    <w:rsid w:val="00992FC4"/>
    <w:rsid w:val="0099330C"/>
    <w:rsid w:val="0099335B"/>
    <w:rsid w:val="00994540"/>
    <w:rsid w:val="009946AF"/>
    <w:rsid w:val="0099518A"/>
    <w:rsid w:val="009956F5"/>
    <w:rsid w:val="00995A88"/>
    <w:rsid w:val="00995A8C"/>
    <w:rsid w:val="00995BA8"/>
    <w:rsid w:val="00996561"/>
    <w:rsid w:val="0099714E"/>
    <w:rsid w:val="009A004A"/>
    <w:rsid w:val="009A099B"/>
    <w:rsid w:val="009A1BEC"/>
    <w:rsid w:val="009A22F6"/>
    <w:rsid w:val="009A28B2"/>
    <w:rsid w:val="009A2CE2"/>
    <w:rsid w:val="009A3C5A"/>
    <w:rsid w:val="009A3ED4"/>
    <w:rsid w:val="009A4B38"/>
    <w:rsid w:val="009A4E8D"/>
    <w:rsid w:val="009A4FC5"/>
    <w:rsid w:val="009A5A03"/>
    <w:rsid w:val="009A6C02"/>
    <w:rsid w:val="009A78B2"/>
    <w:rsid w:val="009A7FB9"/>
    <w:rsid w:val="009B01F7"/>
    <w:rsid w:val="009B11CA"/>
    <w:rsid w:val="009B1525"/>
    <w:rsid w:val="009B26BF"/>
    <w:rsid w:val="009B3055"/>
    <w:rsid w:val="009B3941"/>
    <w:rsid w:val="009B4B3B"/>
    <w:rsid w:val="009B6D9E"/>
    <w:rsid w:val="009B72CB"/>
    <w:rsid w:val="009B747C"/>
    <w:rsid w:val="009B75AA"/>
    <w:rsid w:val="009B78C9"/>
    <w:rsid w:val="009B7963"/>
    <w:rsid w:val="009B7F27"/>
    <w:rsid w:val="009C122A"/>
    <w:rsid w:val="009C1428"/>
    <w:rsid w:val="009C205A"/>
    <w:rsid w:val="009C2B3E"/>
    <w:rsid w:val="009C3468"/>
    <w:rsid w:val="009C3ECB"/>
    <w:rsid w:val="009C4199"/>
    <w:rsid w:val="009C4BBC"/>
    <w:rsid w:val="009C52C7"/>
    <w:rsid w:val="009D1590"/>
    <w:rsid w:val="009D1AB7"/>
    <w:rsid w:val="009D2B27"/>
    <w:rsid w:val="009D3670"/>
    <w:rsid w:val="009D3DA1"/>
    <w:rsid w:val="009D43BC"/>
    <w:rsid w:val="009D4ABA"/>
    <w:rsid w:val="009D6343"/>
    <w:rsid w:val="009D7C68"/>
    <w:rsid w:val="009E04FB"/>
    <w:rsid w:val="009E0DF9"/>
    <w:rsid w:val="009E1536"/>
    <w:rsid w:val="009E2E6B"/>
    <w:rsid w:val="009E36B5"/>
    <w:rsid w:val="009E4279"/>
    <w:rsid w:val="009E4465"/>
    <w:rsid w:val="009E5784"/>
    <w:rsid w:val="009E5B6A"/>
    <w:rsid w:val="009E61C1"/>
    <w:rsid w:val="009E69EC"/>
    <w:rsid w:val="009E6E6D"/>
    <w:rsid w:val="009E737B"/>
    <w:rsid w:val="009E7482"/>
    <w:rsid w:val="009F0C02"/>
    <w:rsid w:val="009F0D14"/>
    <w:rsid w:val="009F1301"/>
    <w:rsid w:val="009F30FD"/>
    <w:rsid w:val="009F3446"/>
    <w:rsid w:val="009F37B2"/>
    <w:rsid w:val="009F3F03"/>
    <w:rsid w:val="009F3FDE"/>
    <w:rsid w:val="009F4CDB"/>
    <w:rsid w:val="009F52CA"/>
    <w:rsid w:val="009F6AAA"/>
    <w:rsid w:val="009F713F"/>
    <w:rsid w:val="009F77E0"/>
    <w:rsid w:val="009F7DF5"/>
    <w:rsid w:val="009F7F96"/>
    <w:rsid w:val="00A002A7"/>
    <w:rsid w:val="00A00AC4"/>
    <w:rsid w:val="00A00DBB"/>
    <w:rsid w:val="00A0406F"/>
    <w:rsid w:val="00A04140"/>
    <w:rsid w:val="00A054C6"/>
    <w:rsid w:val="00A05AC7"/>
    <w:rsid w:val="00A05E8B"/>
    <w:rsid w:val="00A06D75"/>
    <w:rsid w:val="00A07040"/>
    <w:rsid w:val="00A10640"/>
    <w:rsid w:val="00A133AE"/>
    <w:rsid w:val="00A13F6B"/>
    <w:rsid w:val="00A14528"/>
    <w:rsid w:val="00A1491F"/>
    <w:rsid w:val="00A16508"/>
    <w:rsid w:val="00A17497"/>
    <w:rsid w:val="00A17D7A"/>
    <w:rsid w:val="00A17FDE"/>
    <w:rsid w:val="00A202E7"/>
    <w:rsid w:val="00A203BD"/>
    <w:rsid w:val="00A20D77"/>
    <w:rsid w:val="00A213A4"/>
    <w:rsid w:val="00A2140D"/>
    <w:rsid w:val="00A2182B"/>
    <w:rsid w:val="00A21839"/>
    <w:rsid w:val="00A2245D"/>
    <w:rsid w:val="00A22F8F"/>
    <w:rsid w:val="00A233E0"/>
    <w:rsid w:val="00A243F3"/>
    <w:rsid w:val="00A244F3"/>
    <w:rsid w:val="00A25B07"/>
    <w:rsid w:val="00A26321"/>
    <w:rsid w:val="00A266BF"/>
    <w:rsid w:val="00A269C2"/>
    <w:rsid w:val="00A27582"/>
    <w:rsid w:val="00A27902"/>
    <w:rsid w:val="00A301FE"/>
    <w:rsid w:val="00A3073C"/>
    <w:rsid w:val="00A30A79"/>
    <w:rsid w:val="00A30CE6"/>
    <w:rsid w:val="00A3284F"/>
    <w:rsid w:val="00A33A3C"/>
    <w:rsid w:val="00A33C82"/>
    <w:rsid w:val="00A347E0"/>
    <w:rsid w:val="00A360C4"/>
    <w:rsid w:val="00A363E1"/>
    <w:rsid w:val="00A3644D"/>
    <w:rsid w:val="00A364D8"/>
    <w:rsid w:val="00A37A2E"/>
    <w:rsid w:val="00A41BF4"/>
    <w:rsid w:val="00A4345E"/>
    <w:rsid w:val="00A438B0"/>
    <w:rsid w:val="00A43C76"/>
    <w:rsid w:val="00A44CD8"/>
    <w:rsid w:val="00A455A0"/>
    <w:rsid w:val="00A45DBC"/>
    <w:rsid w:val="00A46229"/>
    <w:rsid w:val="00A46AFF"/>
    <w:rsid w:val="00A47612"/>
    <w:rsid w:val="00A501F0"/>
    <w:rsid w:val="00A507BC"/>
    <w:rsid w:val="00A51F2B"/>
    <w:rsid w:val="00A52A54"/>
    <w:rsid w:val="00A52E65"/>
    <w:rsid w:val="00A5358B"/>
    <w:rsid w:val="00A54184"/>
    <w:rsid w:val="00A54A3E"/>
    <w:rsid w:val="00A555D7"/>
    <w:rsid w:val="00A565E5"/>
    <w:rsid w:val="00A569D9"/>
    <w:rsid w:val="00A56BE3"/>
    <w:rsid w:val="00A56C66"/>
    <w:rsid w:val="00A56C84"/>
    <w:rsid w:val="00A6142F"/>
    <w:rsid w:val="00A623E1"/>
    <w:rsid w:val="00A65574"/>
    <w:rsid w:val="00A65934"/>
    <w:rsid w:val="00A66541"/>
    <w:rsid w:val="00A66B61"/>
    <w:rsid w:val="00A66E52"/>
    <w:rsid w:val="00A66F9E"/>
    <w:rsid w:val="00A67268"/>
    <w:rsid w:val="00A679B3"/>
    <w:rsid w:val="00A70FC8"/>
    <w:rsid w:val="00A72721"/>
    <w:rsid w:val="00A72911"/>
    <w:rsid w:val="00A73790"/>
    <w:rsid w:val="00A73B7E"/>
    <w:rsid w:val="00A7416F"/>
    <w:rsid w:val="00A744B8"/>
    <w:rsid w:val="00A75117"/>
    <w:rsid w:val="00A75A0C"/>
    <w:rsid w:val="00A75EAF"/>
    <w:rsid w:val="00A76293"/>
    <w:rsid w:val="00A76B7E"/>
    <w:rsid w:val="00A77478"/>
    <w:rsid w:val="00A779DE"/>
    <w:rsid w:val="00A81A78"/>
    <w:rsid w:val="00A81BDC"/>
    <w:rsid w:val="00A82279"/>
    <w:rsid w:val="00A827E5"/>
    <w:rsid w:val="00A84FCD"/>
    <w:rsid w:val="00A85747"/>
    <w:rsid w:val="00A86B50"/>
    <w:rsid w:val="00A87473"/>
    <w:rsid w:val="00A87607"/>
    <w:rsid w:val="00A87C18"/>
    <w:rsid w:val="00A87C8B"/>
    <w:rsid w:val="00A902DF"/>
    <w:rsid w:val="00A90C8E"/>
    <w:rsid w:val="00A90EB9"/>
    <w:rsid w:val="00A910DE"/>
    <w:rsid w:val="00A9124A"/>
    <w:rsid w:val="00A91360"/>
    <w:rsid w:val="00A914DC"/>
    <w:rsid w:val="00A91CD5"/>
    <w:rsid w:val="00A91F21"/>
    <w:rsid w:val="00A933F8"/>
    <w:rsid w:val="00A9438F"/>
    <w:rsid w:val="00A945D3"/>
    <w:rsid w:val="00A94B1B"/>
    <w:rsid w:val="00A94B52"/>
    <w:rsid w:val="00A94C42"/>
    <w:rsid w:val="00A94EE2"/>
    <w:rsid w:val="00A9517A"/>
    <w:rsid w:val="00A978C8"/>
    <w:rsid w:val="00A97E7C"/>
    <w:rsid w:val="00AA0566"/>
    <w:rsid w:val="00AA0C07"/>
    <w:rsid w:val="00AA1C8F"/>
    <w:rsid w:val="00AA1D97"/>
    <w:rsid w:val="00AA25FB"/>
    <w:rsid w:val="00AA2648"/>
    <w:rsid w:val="00AA2A8D"/>
    <w:rsid w:val="00AA394A"/>
    <w:rsid w:val="00AA3D8A"/>
    <w:rsid w:val="00AA3E45"/>
    <w:rsid w:val="00AA480F"/>
    <w:rsid w:val="00AA4A54"/>
    <w:rsid w:val="00AA5ECB"/>
    <w:rsid w:val="00AA610A"/>
    <w:rsid w:val="00AA62A6"/>
    <w:rsid w:val="00AA633F"/>
    <w:rsid w:val="00AA64A2"/>
    <w:rsid w:val="00AA65E1"/>
    <w:rsid w:val="00AA67C2"/>
    <w:rsid w:val="00AB00E5"/>
    <w:rsid w:val="00AB047D"/>
    <w:rsid w:val="00AB1C42"/>
    <w:rsid w:val="00AB1EDD"/>
    <w:rsid w:val="00AB233D"/>
    <w:rsid w:val="00AB2E68"/>
    <w:rsid w:val="00AB32D2"/>
    <w:rsid w:val="00AB3704"/>
    <w:rsid w:val="00AB5D67"/>
    <w:rsid w:val="00AB5DB5"/>
    <w:rsid w:val="00AB69B4"/>
    <w:rsid w:val="00AB79B0"/>
    <w:rsid w:val="00AC0F42"/>
    <w:rsid w:val="00AC146C"/>
    <w:rsid w:val="00AC1AD9"/>
    <w:rsid w:val="00AC36E8"/>
    <w:rsid w:val="00AC42CF"/>
    <w:rsid w:val="00AC4CFB"/>
    <w:rsid w:val="00AC5201"/>
    <w:rsid w:val="00AC59DC"/>
    <w:rsid w:val="00AC67BF"/>
    <w:rsid w:val="00AC6885"/>
    <w:rsid w:val="00AC6D0B"/>
    <w:rsid w:val="00AD0BC7"/>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D6E75"/>
    <w:rsid w:val="00AE0C95"/>
    <w:rsid w:val="00AE1534"/>
    <w:rsid w:val="00AE2112"/>
    <w:rsid w:val="00AE2280"/>
    <w:rsid w:val="00AE245B"/>
    <w:rsid w:val="00AE280E"/>
    <w:rsid w:val="00AE28B7"/>
    <w:rsid w:val="00AE3573"/>
    <w:rsid w:val="00AE39EF"/>
    <w:rsid w:val="00AE554D"/>
    <w:rsid w:val="00AE5668"/>
    <w:rsid w:val="00AE5C7A"/>
    <w:rsid w:val="00AE6B16"/>
    <w:rsid w:val="00AE7A62"/>
    <w:rsid w:val="00AF05BF"/>
    <w:rsid w:val="00AF0957"/>
    <w:rsid w:val="00AF147D"/>
    <w:rsid w:val="00AF1DD8"/>
    <w:rsid w:val="00AF1FF0"/>
    <w:rsid w:val="00AF2597"/>
    <w:rsid w:val="00AF30F1"/>
    <w:rsid w:val="00AF7043"/>
    <w:rsid w:val="00AF7299"/>
    <w:rsid w:val="00AF7A14"/>
    <w:rsid w:val="00B0093A"/>
    <w:rsid w:val="00B02045"/>
    <w:rsid w:val="00B02105"/>
    <w:rsid w:val="00B029EE"/>
    <w:rsid w:val="00B03E46"/>
    <w:rsid w:val="00B05049"/>
    <w:rsid w:val="00B056D4"/>
    <w:rsid w:val="00B057B9"/>
    <w:rsid w:val="00B06B68"/>
    <w:rsid w:val="00B0789E"/>
    <w:rsid w:val="00B07B58"/>
    <w:rsid w:val="00B10667"/>
    <w:rsid w:val="00B108D3"/>
    <w:rsid w:val="00B10D2B"/>
    <w:rsid w:val="00B11EAF"/>
    <w:rsid w:val="00B13044"/>
    <w:rsid w:val="00B143C7"/>
    <w:rsid w:val="00B14435"/>
    <w:rsid w:val="00B14A53"/>
    <w:rsid w:val="00B15602"/>
    <w:rsid w:val="00B16AD1"/>
    <w:rsid w:val="00B17EFE"/>
    <w:rsid w:val="00B17FE1"/>
    <w:rsid w:val="00B2047B"/>
    <w:rsid w:val="00B210A6"/>
    <w:rsid w:val="00B212B0"/>
    <w:rsid w:val="00B21774"/>
    <w:rsid w:val="00B23949"/>
    <w:rsid w:val="00B248B2"/>
    <w:rsid w:val="00B2505B"/>
    <w:rsid w:val="00B27C17"/>
    <w:rsid w:val="00B30822"/>
    <w:rsid w:val="00B31440"/>
    <w:rsid w:val="00B31467"/>
    <w:rsid w:val="00B31AF2"/>
    <w:rsid w:val="00B32122"/>
    <w:rsid w:val="00B32BF5"/>
    <w:rsid w:val="00B32CC1"/>
    <w:rsid w:val="00B33A7E"/>
    <w:rsid w:val="00B33EA8"/>
    <w:rsid w:val="00B3486A"/>
    <w:rsid w:val="00B34F8A"/>
    <w:rsid w:val="00B356F0"/>
    <w:rsid w:val="00B35706"/>
    <w:rsid w:val="00B36438"/>
    <w:rsid w:val="00B4230E"/>
    <w:rsid w:val="00B43583"/>
    <w:rsid w:val="00B4364F"/>
    <w:rsid w:val="00B43990"/>
    <w:rsid w:val="00B43FC5"/>
    <w:rsid w:val="00B44136"/>
    <w:rsid w:val="00B4437E"/>
    <w:rsid w:val="00B45593"/>
    <w:rsid w:val="00B45DEF"/>
    <w:rsid w:val="00B46F11"/>
    <w:rsid w:val="00B50292"/>
    <w:rsid w:val="00B50682"/>
    <w:rsid w:val="00B513A8"/>
    <w:rsid w:val="00B51BB8"/>
    <w:rsid w:val="00B52FD4"/>
    <w:rsid w:val="00B5370C"/>
    <w:rsid w:val="00B537CB"/>
    <w:rsid w:val="00B544AA"/>
    <w:rsid w:val="00B55A7E"/>
    <w:rsid w:val="00B5604B"/>
    <w:rsid w:val="00B56B4D"/>
    <w:rsid w:val="00B57427"/>
    <w:rsid w:val="00B61068"/>
    <w:rsid w:val="00B62910"/>
    <w:rsid w:val="00B62B9A"/>
    <w:rsid w:val="00B62EBD"/>
    <w:rsid w:val="00B6347A"/>
    <w:rsid w:val="00B634AD"/>
    <w:rsid w:val="00B6462F"/>
    <w:rsid w:val="00B648A9"/>
    <w:rsid w:val="00B64A2B"/>
    <w:rsid w:val="00B64FB3"/>
    <w:rsid w:val="00B651E8"/>
    <w:rsid w:val="00B653E4"/>
    <w:rsid w:val="00B676DC"/>
    <w:rsid w:val="00B6783D"/>
    <w:rsid w:val="00B7001A"/>
    <w:rsid w:val="00B71BAE"/>
    <w:rsid w:val="00B724A1"/>
    <w:rsid w:val="00B72A82"/>
    <w:rsid w:val="00B74BEC"/>
    <w:rsid w:val="00B75546"/>
    <w:rsid w:val="00B7581E"/>
    <w:rsid w:val="00B75EF1"/>
    <w:rsid w:val="00B7620E"/>
    <w:rsid w:val="00B76821"/>
    <w:rsid w:val="00B76849"/>
    <w:rsid w:val="00B76A02"/>
    <w:rsid w:val="00B76E4F"/>
    <w:rsid w:val="00B77262"/>
    <w:rsid w:val="00B806EF"/>
    <w:rsid w:val="00B820D1"/>
    <w:rsid w:val="00B834CF"/>
    <w:rsid w:val="00B84082"/>
    <w:rsid w:val="00B84171"/>
    <w:rsid w:val="00B85335"/>
    <w:rsid w:val="00B8539E"/>
    <w:rsid w:val="00B85418"/>
    <w:rsid w:val="00B85567"/>
    <w:rsid w:val="00B86984"/>
    <w:rsid w:val="00B86B0A"/>
    <w:rsid w:val="00B86F68"/>
    <w:rsid w:val="00B876CB"/>
    <w:rsid w:val="00B877D8"/>
    <w:rsid w:val="00B90754"/>
    <w:rsid w:val="00B90E41"/>
    <w:rsid w:val="00B9192A"/>
    <w:rsid w:val="00B9235C"/>
    <w:rsid w:val="00B92C66"/>
    <w:rsid w:val="00B92F8C"/>
    <w:rsid w:val="00B9491F"/>
    <w:rsid w:val="00B94A0A"/>
    <w:rsid w:val="00B960E7"/>
    <w:rsid w:val="00B964A4"/>
    <w:rsid w:val="00B96A31"/>
    <w:rsid w:val="00B96A9A"/>
    <w:rsid w:val="00BA02ED"/>
    <w:rsid w:val="00BA1055"/>
    <w:rsid w:val="00BA1A16"/>
    <w:rsid w:val="00BA2459"/>
    <w:rsid w:val="00BA3865"/>
    <w:rsid w:val="00BA3A02"/>
    <w:rsid w:val="00BA3BD6"/>
    <w:rsid w:val="00BA5051"/>
    <w:rsid w:val="00BA5396"/>
    <w:rsid w:val="00BA5F46"/>
    <w:rsid w:val="00BA75E4"/>
    <w:rsid w:val="00BA772D"/>
    <w:rsid w:val="00BB08BE"/>
    <w:rsid w:val="00BB0F68"/>
    <w:rsid w:val="00BB1A94"/>
    <w:rsid w:val="00BB1D1D"/>
    <w:rsid w:val="00BB1F7C"/>
    <w:rsid w:val="00BB28D2"/>
    <w:rsid w:val="00BB3E83"/>
    <w:rsid w:val="00BB4637"/>
    <w:rsid w:val="00BB469D"/>
    <w:rsid w:val="00BB4C9A"/>
    <w:rsid w:val="00BB4E1F"/>
    <w:rsid w:val="00BB4F9A"/>
    <w:rsid w:val="00BB5463"/>
    <w:rsid w:val="00BB54A2"/>
    <w:rsid w:val="00BB54F0"/>
    <w:rsid w:val="00BB5623"/>
    <w:rsid w:val="00BB5BFC"/>
    <w:rsid w:val="00BB5D69"/>
    <w:rsid w:val="00BB60E3"/>
    <w:rsid w:val="00BB68CB"/>
    <w:rsid w:val="00BB6B70"/>
    <w:rsid w:val="00BB6E6D"/>
    <w:rsid w:val="00BB71BE"/>
    <w:rsid w:val="00BB7AD4"/>
    <w:rsid w:val="00BB7F3A"/>
    <w:rsid w:val="00BC06CD"/>
    <w:rsid w:val="00BC13F5"/>
    <w:rsid w:val="00BC3C4C"/>
    <w:rsid w:val="00BC3C4F"/>
    <w:rsid w:val="00BC4C51"/>
    <w:rsid w:val="00BC4C5F"/>
    <w:rsid w:val="00BC5557"/>
    <w:rsid w:val="00BC6377"/>
    <w:rsid w:val="00BC7315"/>
    <w:rsid w:val="00BC7902"/>
    <w:rsid w:val="00BD03C6"/>
    <w:rsid w:val="00BD274B"/>
    <w:rsid w:val="00BD3172"/>
    <w:rsid w:val="00BD41F1"/>
    <w:rsid w:val="00BD441F"/>
    <w:rsid w:val="00BD4B19"/>
    <w:rsid w:val="00BD4DE2"/>
    <w:rsid w:val="00BD6DA9"/>
    <w:rsid w:val="00BD7814"/>
    <w:rsid w:val="00BD7F50"/>
    <w:rsid w:val="00BE0ED2"/>
    <w:rsid w:val="00BE1390"/>
    <w:rsid w:val="00BE1537"/>
    <w:rsid w:val="00BE1AC2"/>
    <w:rsid w:val="00BE1EC3"/>
    <w:rsid w:val="00BE23A6"/>
    <w:rsid w:val="00BE2597"/>
    <w:rsid w:val="00BE2897"/>
    <w:rsid w:val="00BE399D"/>
    <w:rsid w:val="00BE3E9B"/>
    <w:rsid w:val="00BE3FDA"/>
    <w:rsid w:val="00BE4511"/>
    <w:rsid w:val="00BE4E42"/>
    <w:rsid w:val="00BE6E40"/>
    <w:rsid w:val="00BE79F5"/>
    <w:rsid w:val="00BE7A38"/>
    <w:rsid w:val="00BF00E5"/>
    <w:rsid w:val="00BF0912"/>
    <w:rsid w:val="00BF21C9"/>
    <w:rsid w:val="00BF22A1"/>
    <w:rsid w:val="00BF4532"/>
    <w:rsid w:val="00BF4B3C"/>
    <w:rsid w:val="00BF5D45"/>
    <w:rsid w:val="00BF6A00"/>
    <w:rsid w:val="00BF6D27"/>
    <w:rsid w:val="00BF7535"/>
    <w:rsid w:val="00BF75B3"/>
    <w:rsid w:val="00BF7950"/>
    <w:rsid w:val="00BF7D10"/>
    <w:rsid w:val="00C0068D"/>
    <w:rsid w:val="00C00961"/>
    <w:rsid w:val="00C0111B"/>
    <w:rsid w:val="00C0228D"/>
    <w:rsid w:val="00C033F3"/>
    <w:rsid w:val="00C03C62"/>
    <w:rsid w:val="00C04978"/>
    <w:rsid w:val="00C05829"/>
    <w:rsid w:val="00C06A29"/>
    <w:rsid w:val="00C06D43"/>
    <w:rsid w:val="00C11495"/>
    <w:rsid w:val="00C11890"/>
    <w:rsid w:val="00C13066"/>
    <w:rsid w:val="00C13158"/>
    <w:rsid w:val="00C1423B"/>
    <w:rsid w:val="00C156F7"/>
    <w:rsid w:val="00C1611B"/>
    <w:rsid w:val="00C20244"/>
    <w:rsid w:val="00C21134"/>
    <w:rsid w:val="00C21F17"/>
    <w:rsid w:val="00C2211C"/>
    <w:rsid w:val="00C225D1"/>
    <w:rsid w:val="00C227A4"/>
    <w:rsid w:val="00C23135"/>
    <w:rsid w:val="00C266EE"/>
    <w:rsid w:val="00C26D7C"/>
    <w:rsid w:val="00C26ECB"/>
    <w:rsid w:val="00C27152"/>
    <w:rsid w:val="00C2743B"/>
    <w:rsid w:val="00C3017E"/>
    <w:rsid w:val="00C30A46"/>
    <w:rsid w:val="00C31779"/>
    <w:rsid w:val="00C31A56"/>
    <w:rsid w:val="00C32DFA"/>
    <w:rsid w:val="00C345D4"/>
    <w:rsid w:val="00C34A95"/>
    <w:rsid w:val="00C36250"/>
    <w:rsid w:val="00C36BEC"/>
    <w:rsid w:val="00C36C39"/>
    <w:rsid w:val="00C371A1"/>
    <w:rsid w:val="00C37A23"/>
    <w:rsid w:val="00C37B5B"/>
    <w:rsid w:val="00C401A4"/>
    <w:rsid w:val="00C41133"/>
    <w:rsid w:val="00C41AB2"/>
    <w:rsid w:val="00C41AE9"/>
    <w:rsid w:val="00C41FF2"/>
    <w:rsid w:val="00C4209C"/>
    <w:rsid w:val="00C42E87"/>
    <w:rsid w:val="00C435A1"/>
    <w:rsid w:val="00C448B6"/>
    <w:rsid w:val="00C455FF"/>
    <w:rsid w:val="00C473EF"/>
    <w:rsid w:val="00C50222"/>
    <w:rsid w:val="00C50838"/>
    <w:rsid w:val="00C50939"/>
    <w:rsid w:val="00C5104B"/>
    <w:rsid w:val="00C5125D"/>
    <w:rsid w:val="00C5158F"/>
    <w:rsid w:val="00C51678"/>
    <w:rsid w:val="00C51BAF"/>
    <w:rsid w:val="00C53D63"/>
    <w:rsid w:val="00C54CD4"/>
    <w:rsid w:val="00C55327"/>
    <w:rsid w:val="00C55949"/>
    <w:rsid w:val="00C56E2F"/>
    <w:rsid w:val="00C60F97"/>
    <w:rsid w:val="00C610C3"/>
    <w:rsid w:val="00C61667"/>
    <w:rsid w:val="00C61DAF"/>
    <w:rsid w:val="00C64A2C"/>
    <w:rsid w:val="00C6518B"/>
    <w:rsid w:val="00C65324"/>
    <w:rsid w:val="00C660AA"/>
    <w:rsid w:val="00C66424"/>
    <w:rsid w:val="00C6644C"/>
    <w:rsid w:val="00C66E9E"/>
    <w:rsid w:val="00C7017A"/>
    <w:rsid w:val="00C70497"/>
    <w:rsid w:val="00C7055B"/>
    <w:rsid w:val="00C71972"/>
    <w:rsid w:val="00C7231A"/>
    <w:rsid w:val="00C72894"/>
    <w:rsid w:val="00C72F1B"/>
    <w:rsid w:val="00C731AB"/>
    <w:rsid w:val="00C733C2"/>
    <w:rsid w:val="00C74093"/>
    <w:rsid w:val="00C740E4"/>
    <w:rsid w:val="00C75ACB"/>
    <w:rsid w:val="00C761A4"/>
    <w:rsid w:val="00C7674E"/>
    <w:rsid w:val="00C77AA9"/>
    <w:rsid w:val="00C82620"/>
    <w:rsid w:val="00C8274C"/>
    <w:rsid w:val="00C84026"/>
    <w:rsid w:val="00C846A3"/>
    <w:rsid w:val="00C84F91"/>
    <w:rsid w:val="00C862CF"/>
    <w:rsid w:val="00C90806"/>
    <w:rsid w:val="00C91831"/>
    <w:rsid w:val="00C91FFD"/>
    <w:rsid w:val="00C927DB"/>
    <w:rsid w:val="00C933FA"/>
    <w:rsid w:val="00C936AC"/>
    <w:rsid w:val="00C957CB"/>
    <w:rsid w:val="00CA09B9"/>
    <w:rsid w:val="00CA15A8"/>
    <w:rsid w:val="00CA233B"/>
    <w:rsid w:val="00CA2967"/>
    <w:rsid w:val="00CA34D2"/>
    <w:rsid w:val="00CA3ABC"/>
    <w:rsid w:val="00CA3DED"/>
    <w:rsid w:val="00CA3ED1"/>
    <w:rsid w:val="00CA4A1A"/>
    <w:rsid w:val="00CA5827"/>
    <w:rsid w:val="00CA5AF7"/>
    <w:rsid w:val="00CA5CAF"/>
    <w:rsid w:val="00CA7D37"/>
    <w:rsid w:val="00CA7FE4"/>
    <w:rsid w:val="00CB1231"/>
    <w:rsid w:val="00CB1294"/>
    <w:rsid w:val="00CB149B"/>
    <w:rsid w:val="00CB2274"/>
    <w:rsid w:val="00CB230E"/>
    <w:rsid w:val="00CB2450"/>
    <w:rsid w:val="00CB2643"/>
    <w:rsid w:val="00CB2AEE"/>
    <w:rsid w:val="00CB2B64"/>
    <w:rsid w:val="00CB3063"/>
    <w:rsid w:val="00CB3EEC"/>
    <w:rsid w:val="00CB43F5"/>
    <w:rsid w:val="00CB51C5"/>
    <w:rsid w:val="00CB52E2"/>
    <w:rsid w:val="00CB57A0"/>
    <w:rsid w:val="00CB6789"/>
    <w:rsid w:val="00CB6997"/>
    <w:rsid w:val="00CB7C87"/>
    <w:rsid w:val="00CC230B"/>
    <w:rsid w:val="00CC2CE9"/>
    <w:rsid w:val="00CC2EAE"/>
    <w:rsid w:val="00CC48B2"/>
    <w:rsid w:val="00CC4936"/>
    <w:rsid w:val="00CC5931"/>
    <w:rsid w:val="00CC64AA"/>
    <w:rsid w:val="00CC6995"/>
    <w:rsid w:val="00CC6BB5"/>
    <w:rsid w:val="00CD19E2"/>
    <w:rsid w:val="00CD1B68"/>
    <w:rsid w:val="00CD1BDC"/>
    <w:rsid w:val="00CD1DFF"/>
    <w:rsid w:val="00CD222C"/>
    <w:rsid w:val="00CD2BD8"/>
    <w:rsid w:val="00CD2C5B"/>
    <w:rsid w:val="00CD32C0"/>
    <w:rsid w:val="00CD536A"/>
    <w:rsid w:val="00CD5C7A"/>
    <w:rsid w:val="00CD5C96"/>
    <w:rsid w:val="00CD5CDD"/>
    <w:rsid w:val="00CE0B94"/>
    <w:rsid w:val="00CE0FF7"/>
    <w:rsid w:val="00CE114D"/>
    <w:rsid w:val="00CE15D6"/>
    <w:rsid w:val="00CE2081"/>
    <w:rsid w:val="00CE24FB"/>
    <w:rsid w:val="00CE2D21"/>
    <w:rsid w:val="00CE35E6"/>
    <w:rsid w:val="00CE468D"/>
    <w:rsid w:val="00CE5673"/>
    <w:rsid w:val="00CE68CC"/>
    <w:rsid w:val="00CE7ADD"/>
    <w:rsid w:val="00CE7D71"/>
    <w:rsid w:val="00CF0EA5"/>
    <w:rsid w:val="00CF1540"/>
    <w:rsid w:val="00CF16E6"/>
    <w:rsid w:val="00CF1C7C"/>
    <w:rsid w:val="00CF1D5E"/>
    <w:rsid w:val="00CF2E35"/>
    <w:rsid w:val="00CF456B"/>
    <w:rsid w:val="00CF7191"/>
    <w:rsid w:val="00CF7E5D"/>
    <w:rsid w:val="00D00516"/>
    <w:rsid w:val="00D007D1"/>
    <w:rsid w:val="00D00B6F"/>
    <w:rsid w:val="00D0153A"/>
    <w:rsid w:val="00D01C16"/>
    <w:rsid w:val="00D01ED4"/>
    <w:rsid w:val="00D02BFC"/>
    <w:rsid w:val="00D02F03"/>
    <w:rsid w:val="00D03A50"/>
    <w:rsid w:val="00D0437A"/>
    <w:rsid w:val="00D04432"/>
    <w:rsid w:val="00D04635"/>
    <w:rsid w:val="00D04C76"/>
    <w:rsid w:val="00D0578D"/>
    <w:rsid w:val="00D06379"/>
    <w:rsid w:val="00D06960"/>
    <w:rsid w:val="00D06E87"/>
    <w:rsid w:val="00D072F5"/>
    <w:rsid w:val="00D07514"/>
    <w:rsid w:val="00D07BFD"/>
    <w:rsid w:val="00D104BB"/>
    <w:rsid w:val="00D11C36"/>
    <w:rsid w:val="00D1210B"/>
    <w:rsid w:val="00D12393"/>
    <w:rsid w:val="00D13A70"/>
    <w:rsid w:val="00D148F2"/>
    <w:rsid w:val="00D15A30"/>
    <w:rsid w:val="00D15AD0"/>
    <w:rsid w:val="00D162EE"/>
    <w:rsid w:val="00D16B85"/>
    <w:rsid w:val="00D16E1A"/>
    <w:rsid w:val="00D204B6"/>
    <w:rsid w:val="00D209F1"/>
    <w:rsid w:val="00D20D5A"/>
    <w:rsid w:val="00D21BB1"/>
    <w:rsid w:val="00D22531"/>
    <w:rsid w:val="00D227F9"/>
    <w:rsid w:val="00D22AB8"/>
    <w:rsid w:val="00D22C8F"/>
    <w:rsid w:val="00D24B29"/>
    <w:rsid w:val="00D26FF3"/>
    <w:rsid w:val="00D2748A"/>
    <w:rsid w:val="00D27F7C"/>
    <w:rsid w:val="00D30505"/>
    <w:rsid w:val="00D312E8"/>
    <w:rsid w:val="00D3154B"/>
    <w:rsid w:val="00D319BA"/>
    <w:rsid w:val="00D31D28"/>
    <w:rsid w:val="00D321E0"/>
    <w:rsid w:val="00D32667"/>
    <w:rsid w:val="00D33EB8"/>
    <w:rsid w:val="00D343E3"/>
    <w:rsid w:val="00D35235"/>
    <w:rsid w:val="00D36A1B"/>
    <w:rsid w:val="00D40B71"/>
    <w:rsid w:val="00D40CAB"/>
    <w:rsid w:val="00D42851"/>
    <w:rsid w:val="00D42F17"/>
    <w:rsid w:val="00D43D20"/>
    <w:rsid w:val="00D451E0"/>
    <w:rsid w:val="00D459FE"/>
    <w:rsid w:val="00D45B66"/>
    <w:rsid w:val="00D4628D"/>
    <w:rsid w:val="00D46A47"/>
    <w:rsid w:val="00D46BC5"/>
    <w:rsid w:val="00D46D64"/>
    <w:rsid w:val="00D4701A"/>
    <w:rsid w:val="00D47FDA"/>
    <w:rsid w:val="00D50246"/>
    <w:rsid w:val="00D5152E"/>
    <w:rsid w:val="00D52271"/>
    <w:rsid w:val="00D52A0C"/>
    <w:rsid w:val="00D53045"/>
    <w:rsid w:val="00D532A0"/>
    <w:rsid w:val="00D5350E"/>
    <w:rsid w:val="00D553A3"/>
    <w:rsid w:val="00D56298"/>
    <w:rsid w:val="00D569D9"/>
    <w:rsid w:val="00D56B06"/>
    <w:rsid w:val="00D56D4C"/>
    <w:rsid w:val="00D57D14"/>
    <w:rsid w:val="00D60570"/>
    <w:rsid w:val="00D60BB9"/>
    <w:rsid w:val="00D61467"/>
    <w:rsid w:val="00D61D25"/>
    <w:rsid w:val="00D61FED"/>
    <w:rsid w:val="00D6210A"/>
    <w:rsid w:val="00D62654"/>
    <w:rsid w:val="00D62E15"/>
    <w:rsid w:val="00D6349D"/>
    <w:rsid w:val="00D63905"/>
    <w:rsid w:val="00D643D0"/>
    <w:rsid w:val="00D66A0B"/>
    <w:rsid w:val="00D66AC8"/>
    <w:rsid w:val="00D67CA9"/>
    <w:rsid w:val="00D72A6A"/>
    <w:rsid w:val="00D72FE2"/>
    <w:rsid w:val="00D7319D"/>
    <w:rsid w:val="00D746BE"/>
    <w:rsid w:val="00D74DC1"/>
    <w:rsid w:val="00D75516"/>
    <w:rsid w:val="00D76241"/>
    <w:rsid w:val="00D768AE"/>
    <w:rsid w:val="00D773A7"/>
    <w:rsid w:val="00D778E5"/>
    <w:rsid w:val="00D80333"/>
    <w:rsid w:val="00D80884"/>
    <w:rsid w:val="00D80CB7"/>
    <w:rsid w:val="00D80DD0"/>
    <w:rsid w:val="00D825B3"/>
    <w:rsid w:val="00D82B6C"/>
    <w:rsid w:val="00D840C3"/>
    <w:rsid w:val="00D84B36"/>
    <w:rsid w:val="00D84F0E"/>
    <w:rsid w:val="00D85384"/>
    <w:rsid w:val="00D85966"/>
    <w:rsid w:val="00D86015"/>
    <w:rsid w:val="00D8614F"/>
    <w:rsid w:val="00D86640"/>
    <w:rsid w:val="00D867B2"/>
    <w:rsid w:val="00D90468"/>
    <w:rsid w:val="00D909A6"/>
    <w:rsid w:val="00D910B7"/>
    <w:rsid w:val="00D9115B"/>
    <w:rsid w:val="00D9133D"/>
    <w:rsid w:val="00D9224D"/>
    <w:rsid w:val="00D92444"/>
    <w:rsid w:val="00D92DE8"/>
    <w:rsid w:val="00D93EE4"/>
    <w:rsid w:val="00D94164"/>
    <w:rsid w:val="00D94549"/>
    <w:rsid w:val="00D94623"/>
    <w:rsid w:val="00D94F7B"/>
    <w:rsid w:val="00D957A4"/>
    <w:rsid w:val="00D95EAF"/>
    <w:rsid w:val="00D9691E"/>
    <w:rsid w:val="00D96BA8"/>
    <w:rsid w:val="00D97629"/>
    <w:rsid w:val="00D97C83"/>
    <w:rsid w:val="00DA1BAD"/>
    <w:rsid w:val="00DA3291"/>
    <w:rsid w:val="00DA3EB5"/>
    <w:rsid w:val="00DA401E"/>
    <w:rsid w:val="00DA4342"/>
    <w:rsid w:val="00DA44CD"/>
    <w:rsid w:val="00DA7837"/>
    <w:rsid w:val="00DA7F0B"/>
    <w:rsid w:val="00DB1E6D"/>
    <w:rsid w:val="00DB32A6"/>
    <w:rsid w:val="00DB5BEE"/>
    <w:rsid w:val="00DB5C0B"/>
    <w:rsid w:val="00DB6A35"/>
    <w:rsid w:val="00DB7CA0"/>
    <w:rsid w:val="00DC0351"/>
    <w:rsid w:val="00DC0D56"/>
    <w:rsid w:val="00DC0EE9"/>
    <w:rsid w:val="00DC0F95"/>
    <w:rsid w:val="00DC18FF"/>
    <w:rsid w:val="00DC2093"/>
    <w:rsid w:val="00DC2132"/>
    <w:rsid w:val="00DC3CD1"/>
    <w:rsid w:val="00DC4095"/>
    <w:rsid w:val="00DC5185"/>
    <w:rsid w:val="00DC6250"/>
    <w:rsid w:val="00DC6343"/>
    <w:rsid w:val="00DC7683"/>
    <w:rsid w:val="00DC7A94"/>
    <w:rsid w:val="00DC7EEB"/>
    <w:rsid w:val="00DD0339"/>
    <w:rsid w:val="00DD0AEB"/>
    <w:rsid w:val="00DD18B8"/>
    <w:rsid w:val="00DD1ACA"/>
    <w:rsid w:val="00DD21A6"/>
    <w:rsid w:val="00DD2BFA"/>
    <w:rsid w:val="00DD3A17"/>
    <w:rsid w:val="00DD419D"/>
    <w:rsid w:val="00DD485A"/>
    <w:rsid w:val="00DD50BD"/>
    <w:rsid w:val="00DD675B"/>
    <w:rsid w:val="00DD6E32"/>
    <w:rsid w:val="00DD7BF4"/>
    <w:rsid w:val="00DD7EAD"/>
    <w:rsid w:val="00DE16AC"/>
    <w:rsid w:val="00DE16BF"/>
    <w:rsid w:val="00DE2133"/>
    <w:rsid w:val="00DE2777"/>
    <w:rsid w:val="00DE3CFF"/>
    <w:rsid w:val="00DE3DC7"/>
    <w:rsid w:val="00DE41E6"/>
    <w:rsid w:val="00DE4552"/>
    <w:rsid w:val="00DE6982"/>
    <w:rsid w:val="00DE7AB8"/>
    <w:rsid w:val="00DF09C3"/>
    <w:rsid w:val="00DF0B02"/>
    <w:rsid w:val="00DF1886"/>
    <w:rsid w:val="00DF1FCC"/>
    <w:rsid w:val="00DF2D0F"/>
    <w:rsid w:val="00DF2E85"/>
    <w:rsid w:val="00DF3D8D"/>
    <w:rsid w:val="00DF3FD0"/>
    <w:rsid w:val="00DF4268"/>
    <w:rsid w:val="00DF4338"/>
    <w:rsid w:val="00DF44A7"/>
    <w:rsid w:val="00DF44D6"/>
    <w:rsid w:val="00DF4B68"/>
    <w:rsid w:val="00DF5287"/>
    <w:rsid w:val="00DF5C17"/>
    <w:rsid w:val="00DF6EC1"/>
    <w:rsid w:val="00DF7D22"/>
    <w:rsid w:val="00E00E82"/>
    <w:rsid w:val="00E02FAE"/>
    <w:rsid w:val="00E03E23"/>
    <w:rsid w:val="00E043B9"/>
    <w:rsid w:val="00E046EC"/>
    <w:rsid w:val="00E052C4"/>
    <w:rsid w:val="00E05BE7"/>
    <w:rsid w:val="00E06A48"/>
    <w:rsid w:val="00E06CB1"/>
    <w:rsid w:val="00E07128"/>
    <w:rsid w:val="00E07A13"/>
    <w:rsid w:val="00E07E5E"/>
    <w:rsid w:val="00E10681"/>
    <w:rsid w:val="00E10F28"/>
    <w:rsid w:val="00E11621"/>
    <w:rsid w:val="00E11D8D"/>
    <w:rsid w:val="00E11F42"/>
    <w:rsid w:val="00E133A0"/>
    <w:rsid w:val="00E13557"/>
    <w:rsid w:val="00E13F47"/>
    <w:rsid w:val="00E156F4"/>
    <w:rsid w:val="00E1635A"/>
    <w:rsid w:val="00E16794"/>
    <w:rsid w:val="00E171FF"/>
    <w:rsid w:val="00E17A7A"/>
    <w:rsid w:val="00E17A7B"/>
    <w:rsid w:val="00E17E00"/>
    <w:rsid w:val="00E21488"/>
    <w:rsid w:val="00E21A37"/>
    <w:rsid w:val="00E2399A"/>
    <w:rsid w:val="00E23DA2"/>
    <w:rsid w:val="00E24C26"/>
    <w:rsid w:val="00E24FF7"/>
    <w:rsid w:val="00E25144"/>
    <w:rsid w:val="00E259D1"/>
    <w:rsid w:val="00E25AB2"/>
    <w:rsid w:val="00E26680"/>
    <w:rsid w:val="00E27DF9"/>
    <w:rsid w:val="00E30F64"/>
    <w:rsid w:val="00E311EB"/>
    <w:rsid w:val="00E31AF5"/>
    <w:rsid w:val="00E31F27"/>
    <w:rsid w:val="00E32C42"/>
    <w:rsid w:val="00E36BE0"/>
    <w:rsid w:val="00E36DDF"/>
    <w:rsid w:val="00E3726A"/>
    <w:rsid w:val="00E37FAD"/>
    <w:rsid w:val="00E406E1"/>
    <w:rsid w:val="00E4091C"/>
    <w:rsid w:val="00E4156C"/>
    <w:rsid w:val="00E4162E"/>
    <w:rsid w:val="00E4263D"/>
    <w:rsid w:val="00E43239"/>
    <w:rsid w:val="00E43439"/>
    <w:rsid w:val="00E43EC4"/>
    <w:rsid w:val="00E44656"/>
    <w:rsid w:val="00E447A4"/>
    <w:rsid w:val="00E4498A"/>
    <w:rsid w:val="00E458BA"/>
    <w:rsid w:val="00E45D0F"/>
    <w:rsid w:val="00E4634E"/>
    <w:rsid w:val="00E47951"/>
    <w:rsid w:val="00E47C36"/>
    <w:rsid w:val="00E47EFA"/>
    <w:rsid w:val="00E506EE"/>
    <w:rsid w:val="00E50C81"/>
    <w:rsid w:val="00E5114D"/>
    <w:rsid w:val="00E51549"/>
    <w:rsid w:val="00E520DB"/>
    <w:rsid w:val="00E52A00"/>
    <w:rsid w:val="00E54021"/>
    <w:rsid w:val="00E54A11"/>
    <w:rsid w:val="00E5504C"/>
    <w:rsid w:val="00E565D5"/>
    <w:rsid w:val="00E56735"/>
    <w:rsid w:val="00E56B60"/>
    <w:rsid w:val="00E56CC4"/>
    <w:rsid w:val="00E56F42"/>
    <w:rsid w:val="00E57B3F"/>
    <w:rsid w:val="00E6020F"/>
    <w:rsid w:val="00E617B7"/>
    <w:rsid w:val="00E618B9"/>
    <w:rsid w:val="00E62132"/>
    <w:rsid w:val="00E6280D"/>
    <w:rsid w:val="00E6322A"/>
    <w:rsid w:val="00E63F4F"/>
    <w:rsid w:val="00E6461A"/>
    <w:rsid w:val="00E653DF"/>
    <w:rsid w:val="00E660CB"/>
    <w:rsid w:val="00E6668A"/>
    <w:rsid w:val="00E66E6C"/>
    <w:rsid w:val="00E675BD"/>
    <w:rsid w:val="00E67893"/>
    <w:rsid w:val="00E67BF9"/>
    <w:rsid w:val="00E67CFF"/>
    <w:rsid w:val="00E70729"/>
    <w:rsid w:val="00E75159"/>
    <w:rsid w:val="00E7566B"/>
    <w:rsid w:val="00E75822"/>
    <w:rsid w:val="00E76BC4"/>
    <w:rsid w:val="00E775C1"/>
    <w:rsid w:val="00E77872"/>
    <w:rsid w:val="00E778AF"/>
    <w:rsid w:val="00E8085A"/>
    <w:rsid w:val="00E81508"/>
    <w:rsid w:val="00E828AE"/>
    <w:rsid w:val="00E82C59"/>
    <w:rsid w:val="00E82E21"/>
    <w:rsid w:val="00E835CE"/>
    <w:rsid w:val="00E83616"/>
    <w:rsid w:val="00E84296"/>
    <w:rsid w:val="00E84EB6"/>
    <w:rsid w:val="00E8633B"/>
    <w:rsid w:val="00E86CC4"/>
    <w:rsid w:val="00E86E87"/>
    <w:rsid w:val="00E878D4"/>
    <w:rsid w:val="00E8799D"/>
    <w:rsid w:val="00E879CF"/>
    <w:rsid w:val="00E90045"/>
    <w:rsid w:val="00E90C0A"/>
    <w:rsid w:val="00E915DC"/>
    <w:rsid w:val="00E91837"/>
    <w:rsid w:val="00E92765"/>
    <w:rsid w:val="00E929E5"/>
    <w:rsid w:val="00E92B96"/>
    <w:rsid w:val="00E9361F"/>
    <w:rsid w:val="00E936D0"/>
    <w:rsid w:val="00E93DBB"/>
    <w:rsid w:val="00E94C23"/>
    <w:rsid w:val="00E9527E"/>
    <w:rsid w:val="00E96692"/>
    <w:rsid w:val="00E96BA5"/>
    <w:rsid w:val="00E97744"/>
    <w:rsid w:val="00EA1CFE"/>
    <w:rsid w:val="00EA1E91"/>
    <w:rsid w:val="00EA24A0"/>
    <w:rsid w:val="00EA3088"/>
    <w:rsid w:val="00EA30AC"/>
    <w:rsid w:val="00EA35BD"/>
    <w:rsid w:val="00EA3DDE"/>
    <w:rsid w:val="00EA3FD4"/>
    <w:rsid w:val="00EA44E0"/>
    <w:rsid w:val="00EA483C"/>
    <w:rsid w:val="00EA5245"/>
    <w:rsid w:val="00EA54A7"/>
    <w:rsid w:val="00EA5E06"/>
    <w:rsid w:val="00EA610E"/>
    <w:rsid w:val="00EA7A7A"/>
    <w:rsid w:val="00EB0A5A"/>
    <w:rsid w:val="00EB207D"/>
    <w:rsid w:val="00EB29DA"/>
    <w:rsid w:val="00EB2AD0"/>
    <w:rsid w:val="00EB2FE2"/>
    <w:rsid w:val="00EB3498"/>
    <w:rsid w:val="00EB452F"/>
    <w:rsid w:val="00EB56D5"/>
    <w:rsid w:val="00EB64BB"/>
    <w:rsid w:val="00EB7235"/>
    <w:rsid w:val="00EB7DE5"/>
    <w:rsid w:val="00EC1672"/>
    <w:rsid w:val="00EC1A6F"/>
    <w:rsid w:val="00EC2655"/>
    <w:rsid w:val="00EC5505"/>
    <w:rsid w:val="00EC5B75"/>
    <w:rsid w:val="00EC6B66"/>
    <w:rsid w:val="00EC71E3"/>
    <w:rsid w:val="00EC7928"/>
    <w:rsid w:val="00EC7C4C"/>
    <w:rsid w:val="00EC7D11"/>
    <w:rsid w:val="00ED11CA"/>
    <w:rsid w:val="00ED3B1D"/>
    <w:rsid w:val="00ED5900"/>
    <w:rsid w:val="00ED5C7B"/>
    <w:rsid w:val="00ED6635"/>
    <w:rsid w:val="00ED767C"/>
    <w:rsid w:val="00EE0A93"/>
    <w:rsid w:val="00EE0AAA"/>
    <w:rsid w:val="00EE0DB7"/>
    <w:rsid w:val="00EE0EF2"/>
    <w:rsid w:val="00EE0F5A"/>
    <w:rsid w:val="00EE16EA"/>
    <w:rsid w:val="00EE1CCD"/>
    <w:rsid w:val="00EE2DE8"/>
    <w:rsid w:val="00EE331B"/>
    <w:rsid w:val="00EE3876"/>
    <w:rsid w:val="00EE3A31"/>
    <w:rsid w:val="00EE4223"/>
    <w:rsid w:val="00EE4587"/>
    <w:rsid w:val="00EE49FC"/>
    <w:rsid w:val="00EE4C48"/>
    <w:rsid w:val="00EE6079"/>
    <w:rsid w:val="00EE68A8"/>
    <w:rsid w:val="00EE697E"/>
    <w:rsid w:val="00EE6B69"/>
    <w:rsid w:val="00EE6C55"/>
    <w:rsid w:val="00EF1340"/>
    <w:rsid w:val="00EF1E3F"/>
    <w:rsid w:val="00EF269C"/>
    <w:rsid w:val="00EF2E98"/>
    <w:rsid w:val="00EF3498"/>
    <w:rsid w:val="00EF3E35"/>
    <w:rsid w:val="00EF47FA"/>
    <w:rsid w:val="00EF6250"/>
    <w:rsid w:val="00EF67C5"/>
    <w:rsid w:val="00EF7310"/>
    <w:rsid w:val="00EF7840"/>
    <w:rsid w:val="00EF7A98"/>
    <w:rsid w:val="00EF7D5F"/>
    <w:rsid w:val="00EF7F3C"/>
    <w:rsid w:val="00EF7F74"/>
    <w:rsid w:val="00F00B38"/>
    <w:rsid w:val="00F0283C"/>
    <w:rsid w:val="00F02D3D"/>
    <w:rsid w:val="00F0414B"/>
    <w:rsid w:val="00F04DF5"/>
    <w:rsid w:val="00F05EFB"/>
    <w:rsid w:val="00F061DB"/>
    <w:rsid w:val="00F06433"/>
    <w:rsid w:val="00F06709"/>
    <w:rsid w:val="00F06D7A"/>
    <w:rsid w:val="00F07601"/>
    <w:rsid w:val="00F1039C"/>
    <w:rsid w:val="00F107D3"/>
    <w:rsid w:val="00F1167C"/>
    <w:rsid w:val="00F11BB0"/>
    <w:rsid w:val="00F12AA4"/>
    <w:rsid w:val="00F13D78"/>
    <w:rsid w:val="00F148D8"/>
    <w:rsid w:val="00F1598E"/>
    <w:rsid w:val="00F16AEF"/>
    <w:rsid w:val="00F17D9C"/>
    <w:rsid w:val="00F17F12"/>
    <w:rsid w:val="00F20258"/>
    <w:rsid w:val="00F21399"/>
    <w:rsid w:val="00F218D4"/>
    <w:rsid w:val="00F21B4F"/>
    <w:rsid w:val="00F21BD8"/>
    <w:rsid w:val="00F2274C"/>
    <w:rsid w:val="00F252ED"/>
    <w:rsid w:val="00F25B87"/>
    <w:rsid w:val="00F2611A"/>
    <w:rsid w:val="00F263F3"/>
    <w:rsid w:val="00F26CFE"/>
    <w:rsid w:val="00F2736F"/>
    <w:rsid w:val="00F2784D"/>
    <w:rsid w:val="00F27C03"/>
    <w:rsid w:val="00F30158"/>
    <w:rsid w:val="00F325DC"/>
    <w:rsid w:val="00F338A7"/>
    <w:rsid w:val="00F34127"/>
    <w:rsid w:val="00F34E1A"/>
    <w:rsid w:val="00F36813"/>
    <w:rsid w:val="00F375C1"/>
    <w:rsid w:val="00F4021F"/>
    <w:rsid w:val="00F40551"/>
    <w:rsid w:val="00F40D1F"/>
    <w:rsid w:val="00F40FFB"/>
    <w:rsid w:val="00F41051"/>
    <w:rsid w:val="00F41726"/>
    <w:rsid w:val="00F4271B"/>
    <w:rsid w:val="00F42920"/>
    <w:rsid w:val="00F42B37"/>
    <w:rsid w:val="00F437D2"/>
    <w:rsid w:val="00F43914"/>
    <w:rsid w:val="00F43CA6"/>
    <w:rsid w:val="00F43CFA"/>
    <w:rsid w:val="00F43DD6"/>
    <w:rsid w:val="00F44303"/>
    <w:rsid w:val="00F44A9A"/>
    <w:rsid w:val="00F4572C"/>
    <w:rsid w:val="00F467C0"/>
    <w:rsid w:val="00F46C19"/>
    <w:rsid w:val="00F46F85"/>
    <w:rsid w:val="00F51118"/>
    <w:rsid w:val="00F518B3"/>
    <w:rsid w:val="00F52033"/>
    <w:rsid w:val="00F52D5B"/>
    <w:rsid w:val="00F53721"/>
    <w:rsid w:val="00F5438B"/>
    <w:rsid w:val="00F54F8B"/>
    <w:rsid w:val="00F567C0"/>
    <w:rsid w:val="00F56B5B"/>
    <w:rsid w:val="00F574EE"/>
    <w:rsid w:val="00F60B67"/>
    <w:rsid w:val="00F6146C"/>
    <w:rsid w:val="00F616AF"/>
    <w:rsid w:val="00F617F5"/>
    <w:rsid w:val="00F61E41"/>
    <w:rsid w:val="00F62C92"/>
    <w:rsid w:val="00F63C55"/>
    <w:rsid w:val="00F644C2"/>
    <w:rsid w:val="00F64621"/>
    <w:rsid w:val="00F6473B"/>
    <w:rsid w:val="00F661CF"/>
    <w:rsid w:val="00F66675"/>
    <w:rsid w:val="00F67CE9"/>
    <w:rsid w:val="00F70DA6"/>
    <w:rsid w:val="00F70EBB"/>
    <w:rsid w:val="00F7123C"/>
    <w:rsid w:val="00F72A66"/>
    <w:rsid w:val="00F73AEB"/>
    <w:rsid w:val="00F73FA9"/>
    <w:rsid w:val="00F74E38"/>
    <w:rsid w:val="00F75158"/>
    <w:rsid w:val="00F751C9"/>
    <w:rsid w:val="00F757CB"/>
    <w:rsid w:val="00F7667D"/>
    <w:rsid w:val="00F77EC7"/>
    <w:rsid w:val="00F77FE8"/>
    <w:rsid w:val="00F8020F"/>
    <w:rsid w:val="00F8130A"/>
    <w:rsid w:val="00F8146D"/>
    <w:rsid w:val="00F81ECB"/>
    <w:rsid w:val="00F83949"/>
    <w:rsid w:val="00F83A51"/>
    <w:rsid w:val="00F83ABA"/>
    <w:rsid w:val="00F84811"/>
    <w:rsid w:val="00F8581F"/>
    <w:rsid w:val="00F85829"/>
    <w:rsid w:val="00F86DA9"/>
    <w:rsid w:val="00F8792E"/>
    <w:rsid w:val="00F90376"/>
    <w:rsid w:val="00F90DA1"/>
    <w:rsid w:val="00F92066"/>
    <w:rsid w:val="00F9230A"/>
    <w:rsid w:val="00F9285E"/>
    <w:rsid w:val="00F92946"/>
    <w:rsid w:val="00F94330"/>
    <w:rsid w:val="00F94487"/>
    <w:rsid w:val="00F9507C"/>
    <w:rsid w:val="00F9636C"/>
    <w:rsid w:val="00F9642F"/>
    <w:rsid w:val="00F9664E"/>
    <w:rsid w:val="00F968E2"/>
    <w:rsid w:val="00F97440"/>
    <w:rsid w:val="00FA034B"/>
    <w:rsid w:val="00FA0AF4"/>
    <w:rsid w:val="00FA0DBF"/>
    <w:rsid w:val="00FA0EEC"/>
    <w:rsid w:val="00FA11DF"/>
    <w:rsid w:val="00FA139A"/>
    <w:rsid w:val="00FA1604"/>
    <w:rsid w:val="00FA4D4C"/>
    <w:rsid w:val="00FA5531"/>
    <w:rsid w:val="00FA5C31"/>
    <w:rsid w:val="00FA66BC"/>
    <w:rsid w:val="00FA6CD2"/>
    <w:rsid w:val="00FA742D"/>
    <w:rsid w:val="00FB01C1"/>
    <w:rsid w:val="00FB0DDF"/>
    <w:rsid w:val="00FB15B2"/>
    <w:rsid w:val="00FB19D6"/>
    <w:rsid w:val="00FB2F6E"/>
    <w:rsid w:val="00FB3FAB"/>
    <w:rsid w:val="00FB5AC0"/>
    <w:rsid w:val="00FB5AD4"/>
    <w:rsid w:val="00FB5CE0"/>
    <w:rsid w:val="00FB687F"/>
    <w:rsid w:val="00FB797F"/>
    <w:rsid w:val="00FB7EAC"/>
    <w:rsid w:val="00FC024D"/>
    <w:rsid w:val="00FC02BE"/>
    <w:rsid w:val="00FC1BD4"/>
    <w:rsid w:val="00FC205C"/>
    <w:rsid w:val="00FC228D"/>
    <w:rsid w:val="00FC2D2B"/>
    <w:rsid w:val="00FC33B5"/>
    <w:rsid w:val="00FC3748"/>
    <w:rsid w:val="00FC3E42"/>
    <w:rsid w:val="00FC47B2"/>
    <w:rsid w:val="00FC515B"/>
    <w:rsid w:val="00FC5700"/>
    <w:rsid w:val="00FC67FB"/>
    <w:rsid w:val="00FC734F"/>
    <w:rsid w:val="00FC73F1"/>
    <w:rsid w:val="00FC77D0"/>
    <w:rsid w:val="00FD10CF"/>
    <w:rsid w:val="00FD2799"/>
    <w:rsid w:val="00FD402A"/>
    <w:rsid w:val="00FD6838"/>
    <w:rsid w:val="00FE437F"/>
    <w:rsid w:val="00FE4E98"/>
    <w:rsid w:val="00FE6490"/>
    <w:rsid w:val="00FE76F1"/>
    <w:rsid w:val="00FF06AD"/>
    <w:rsid w:val="00FF0D71"/>
    <w:rsid w:val="00FF178F"/>
    <w:rsid w:val="00FF1B0C"/>
    <w:rsid w:val="00FF1E23"/>
    <w:rsid w:val="00FF2368"/>
    <w:rsid w:val="00FF3AB2"/>
    <w:rsid w:val="00FF4307"/>
    <w:rsid w:val="00FF4365"/>
    <w:rsid w:val="00FF48CB"/>
    <w:rsid w:val="00FF49EC"/>
    <w:rsid w:val="00FF644B"/>
    <w:rsid w:val="00FF6A13"/>
    <w:rsid w:val="00FF6F61"/>
    <w:rsid w:val="00FF6FFA"/>
    <w:rsid w:val="00FF70C3"/>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6B3C"/>
    <w:rsid w:val="00052AD2"/>
    <w:rsid w:val="000563BB"/>
    <w:rsid w:val="00063160"/>
    <w:rsid w:val="000F4ECE"/>
    <w:rsid w:val="00113F30"/>
    <w:rsid w:val="00126644"/>
    <w:rsid w:val="00130D61"/>
    <w:rsid w:val="00151D7F"/>
    <w:rsid w:val="0016108A"/>
    <w:rsid w:val="00162CB8"/>
    <w:rsid w:val="00164B88"/>
    <w:rsid w:val="0017078E"/>
    <w:rsid w:val="001A3EED"/>
    <w:rsid w:val="001C3682"/>
    <w:rsid w:val="001E4107"/>
    <w:rsid w:val="001E4B67"/>
    <w:rsid w:val="001E5464"/>
    <w:rsid w:val="0020307F"/>
    <w:rsid w:val="00215416"/>
    <w:rsid w:val="00216BD2"/>
    <w:rsid w:val="00222C64"/>
    <w:rsid w:val="00224BFB"/>
    <w:rsid w:val="002519C2"/>
    <w:rsid w:val="00252CA8"/>
    <w:rsid w:val="00257031"/>
    <w:rsid w:val="00261885"/>
    <w:rsid w:val="0026199D"/>
    <w:rsid w:val="00272356"/>
    <w:rsid w:val="00296EF8"/>
    <w:rsid w:val="002B060B"/>
    <w:rsid w:val="002D43EB"/>
    <w:rsid w:val="00353A4B"/>
    <w:rsid w:val="00382541"/>
    <w:rsid w:val="003E1DAE"/>
    <w:rsid w:val="003F7785"/>
    <w:rsid w:val="0040334C"/>
    <w:rsid w:val="00403A9B"/>
    <w:rsid w:val="00421712"/>
    <w:rsid w:val="00460757"/>
    <w:rsid w:val="004861CF"/>
    <w:rsid w:val="004939EA"/>
    <w:rsid w:val="00496FB3"/>
    <w:rsid w:val="00497686"/>
    <w:rsid w:val="004C3997"/>
    <w:rsid w:val="004C3B56"/>
    <w:rsid w:val="004D15FC"/>
    <w:rsid w:val="004D5B4F"/>
    <w:rsid w:val="004E02A1"/>
    <w:rsid w:val="005B6736"/>
    <w:rsid w:val="005C71FA"/>
    <w:rsid w:val="005D1FC3"/>
    <w:rsid w:val="005D78A6"/>
    <w:rsid w:val="005E2836"/>
    <w:rsid w:val="00612C9E"/>
    <w:rsid w:val="00613859"/>
    <w:rsid w:val="006313EA"/>
    <w:rsid w:val="00653F74"/>
    <w:rsid w:val="006835F1"/>
    <w:rsid w:val="006849D7"/>
    <w:rsid w:val="006B013B"/>
    <w:rsid w:val="006C6881"/>
    <w:rsid w:val="006D3089"/>
    <w:rsid w:val="006E4874"/>
    <w:rsid w:val="00737F84"/>
    <w:rsid w:val="007615E6"/>
    <w:rsid w:val="00771915"/>
    <w:rsid w:val="007810B9"/>
    <w:rsid w:val="00783209"/>
    <w:rsid w:val="00795205"/>
    <w:rsid w:val="007E328E"/>
    <w:rsid w:val="00817FF8"/>
    <w:rsid w:val="00831E34"/>
    <w:rsid w:val="008364AA"/>
    <w:rsid w:val="00837DE3"/>
    <w:rsid w:val="008518D6"/>
    <w:rsid w:val="008577D6"/>
    <w:rsid w:val="00886A55"/>
    <w:rsid w:val="008B2BC3"/>
    <w:rsid w:val="008C0603"/>
    <w:rsid w:val="008C4178"/>
    <w:rsid w:val="009113B0"/>
    <w:rsid w:val="00921636"/>
    <w:rsid w:val="009260D8"/>
    <w:rsid w:val="00936413"/>
    <w:rsid w:val="009764BC"/>
    <w:rsid w:val="00994752"/>
    <w:rsid w:val="009C28CD"/>
    <w:rsid w:val="009E08AE"/>
    <w:rsid w:val="00A16EF4"/>
    <w:rsid w:val="00A24C07"/>
    <w:rsid w:val="00A41DB7"/>
    <w:rsid w:val="00A5231A"/>
    <w:rsid w:val="00A557B1"/>
    <w:rsid w:val="00A60A6D"/>
    <w:rsid w:val="00A63B65"/>
    <w:rsid w:val="00A65A67"/>
    <w:rsid w:val="00A755EB"/>
    <w:rsid w:val="00A85A7D"/>
    <w:rsid w:val="00AB440C"/>
    <w:rsid w:val="00B14E62"/>
    <w:rsid w:val="00B77544"/>
    <w:rsid w:val="00B92358"/>
    <w:rsid w:val="00BA0659"/>
    <w:rsid w:val="00BE4B07"/>
    <w:rsid w:val="00BE6918"/>
    <w:rsid w:val="00C07079"/>
    <w:rsid w:val="00C43174"/>
    <w:rsid w:val="00C60267"/>
    <w:rsid w:val="00C9329F"/>
    <w:rsid w:val="00CA3292"/>
    <w:rsid w:val="00CA5641"/>
    <w:rsid w:val="00CE3EC0"/>
    <w:rsid w:val="00CF2A3B"/>
    <w:rsid w:val="00D372EA"/>
    <w:rsid w:val="00D50029"/>
    <w:rsid w:val="00D57C76"/>
    <w:rsid w:val="00D85E08"/>
    <w:rsid w:val="00DB0EDB"/>
    <w:rsid w:val="00DB57F2"/>
    <w:rsid w:val="00DD3389"/>
    <w:rsid w:val="00DD620F"/>
    <w:rsid w:val="00DD7344"/>
    <w:rsid w:val="00DF3A70"/>
    <w:rsid w:val="00DF4238"/>
    <w:rsid w:val="00E07881"/>
    <w:rsid w:val="00E07AAD"/>
    <w:rsid w:val="00E34C75"/>
    <w:rsid w:val="00E44D68"/>
    <w:rsid w:val="00E97349"/>
    <w:rsid w:val="00EA23EA"/>
    <w:rsid w:val="00EB2B9A"/>
    <w:rsid w:val="00F0650A"/>
    <w:rsid w:val="00F0750E"/>
    <w:rsid w:val="00F11D53"/>
    <w:rsid w:val="00F65CA4"/>
    <w:rsid w:val="00F7494F"/>
    <w:rsid w:val="00F90EB3"/>
    <w:rsid w:val="00FA4F02"/>
    <w:rsid w:val="00FD20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3160"/>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AF10-10A3-4E33-BC61-C3D383D9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3</cp:revision>
  <cp:lastPrinted>2016-09-30T18:58:00Z</cp:lastPrinted>
  <dcterms:created xsi:type="dcterms:W3CDTF">2017-02-22T18:18:00Z</dcterms:created>
  <dcterms:modified xsi:type="dcterms:W3CDTF">2017-02-22T20:36:00Z</dcterms:modified>
</cp:coreProperties>
</file>