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7513"/>
      </w:tblGrid>
      <w:tr w:rsidR="005039CE" w:rsidRPr="00E83818" w:rsidTr="00862FE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39CE" w:rsidRPr="00E83818" w:rsidRDefault="005039CE" w:rsidP="00E83818">
            <w:pPr>
              <w:pStyle w:val="Ttulo2"/>
              <w:ind w:right="-285"/>
            </w:pPr>
            <w:r w:rsidRPr="00E83818">
              <w:t>Assunto: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9CE" w:rsidRPr="00E83818" w:rsidRDefault="005039CE" w:rsidP="00E83818">
            <w:pPr>
              <w:ind w:left="-169" w:right="-285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E83818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39CE" w:rsidRDefault="005039CE" w:rsidP="0096103B">
            <w:pPr>
              <w:pStyle w:val="Ttulo2"/>
              <w:ind w:right="497"/>
              <w:jc w:val="both"/>
            </w:pPr>
            <w:r>
              <w:rPr>
                <w:rFonts w:ascii="Times New Roman" w:hAnsi="Times New Roman"/>
              </w:rPr>
              <w:t>Procedimentos no caso de mão emissão de NF-e de entrada</w:t>
            </w:r>
            <w:r w:rsidR="00A669C9">
              <w:rPr>
                <w:rFonts w:ascii="Times New Roman" w:hAnsi="Times New Roman"/>
              </w:rPr>
              <w:t xml:space="preserve"> e de saída</w:t>
            </w:r>
            <w:r>
              <w:rPr>
                <w:rFonts w:ascii="Times New Roman" w:hAnsi="Times New Roman"/>
              </w:rPr>
              <w:t xml:space="preserve"> quando da importação de embarcações sob Regime Especial de Admissão Temporária.</w:t>
            </w:r>
          </w:p>
          <w:p w:rsidR="005039CE" w:rsidRDefault="005039CE" w:rsidP="001452C9">
            <w:pPr>
              <w:pStyle w:val="Ttulo2"/>
              <w:ind w:right="497"/>
              <w:jc w:val="both"/>
            </w:pPr>
          </w:p>
          <w:p w:rsidR="005039CE" w:rsidRPr="00E83818" w:rsidRDefault="005039CE" w:rsidP="001452C9">
            <w:pPr>
              <w:pStyle w:val="Ttulo2"/>
              <w:ind w:right="497"/>
              <w:jc w:val="both"/>
              <w:rPr>
                <w:b w:val="0"/>
              </w:rPr>
            </w:pPr>
          </w:p>
        </w:tc>
      </w:tr>
      <w:tr w:rsidR="005039CE" w:rsidRPr="00E83818" w:rsidTr="00862FE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39CE" w:rsidRPr="00E83818" w:rsidRDefault="005039CE" w:rsidP="00E83818">
            <w:pPr>
              <w:pStyle w:val="Ttulo2"/>
              <w:ind w:right="-285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9CE" w:rsidRPr="00E83818" w:rsidRDefault="005039CE" w:rsidP="00E83818">
            <w:pPr>
              <w:ind w:left="-169" w:right="-285"/>
              <w:jc w:val="center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39CE" w:rsidRPr="00E83818" w:rsidRDefault="005039CE" w:rsidP="0046456D">
            <w:pPr>
              <w:pStyle w:val="Ttulo2"/>
              <w:tabs>
                <w:tab w:val="left" w:pos="3000"/>
              </w:tabs>
              <w:ind w:right="497"/>
            </w:pPr>
            <w:r w:rsidRPr="00E83818">
              <w:t xml:space="preserve">Consulta nº </w:t>
            </w:r>
            <w:r>
              <w:t xml:space="preserve">  </w:t>
            </w:r>
            <w:r w:rsidR="00741979">
              <w:t>010</w:t>
            </w:r>
            <w:r>
              <w:t>/</w:t>
            </w:r>
            <w:r w:rsidR="00741979">
              <w:t>2016</w:t>
            </w:r>
          </w:p>
          <w:p w:rsidR="005039CE" w:rsidRPr="00E83818" w:rsidRDefault="005039CE" w:rsidP="00324164">
            <w:pPr>
              <w:ind w:right="497"/>
              <w:rPr>
                <w:rFonts w:ascii="Arial" w:hAnsi="Arial" w:cs="Arial"/>
                <w:sz w:val="22"/>
              </w:rPr>
            </w:pPr>
          </w:p>
        </w:tc>
      </w:tr>
    </w:tbl>
    <w:p w:rsidR="005039CE" w:rsidRDefault="005039CE" w:rsidP="003970C5">
      <w:pPr>
        <w:ind w:right="-710"/>
        <w:rPr>
          <w:rFonts w:ascii="Arial" w:hAnsi="Arial" w:cs="Arial"/>
          <w:b/>
          <w:smallCaps/>
          <w:sz w:val="22"/>
          <w:szCs w:val="22"/>
        </w:rPr>
      </w:pPr>
    </w:p>
    <w:p w:rsidR="005039CE" w:rsidRPr="00E83818" w:rsidRDefault="005039CE" w:rsidP="008447B0">
      <w:pPr>
        <w:ind w:right="-710" w:firstLine="708"/>
        <w:rPr>
          <w:rFonts w:ascii="Arial" w:hAnsi="Arial" w:cs="Arial"/>
          <w:b/>
          <w:smallCaps/>
          <w:sz w:val="22"/>
          <w:szCs w:val="22"/>
        </w:rPr>
      </w:pPr>
    </w:p>
    <w:p w:rsidR="005039CE" w:rsidRPr="003970C5" w:rsidRDefault="005039CE" w:rsidP="003970C5">
      <w:pPr>
        <w:spacing w:line="360" w:lineRule="auto"/>
        <w:ind w:right="-710" w:firstLine="567"/>
        <w:rPr>
          <w:rFonts w:ascii="Arial" w:hAnsi="Arial" w:cs="Arial"/>
          <w:b/>
          <w:sz w:val="22"/>
          <w:szCs w:val="22"/>
        </w:rPr>
      </w:pPr>
      <w:r w:rsidRPr="00E83818">
        <w:rPr>
          <w:rFonts w:ascii="Arial" w:hAnsi="Arial" w:cs="Arial"/>
          <w:b/>
          <w:sz w:val="22"/>
          <w:szCs w:val="22"/>
        </w:rPr>
        <w:t xml:space="preserve">I – </w:t>
      </w:r>
      <w:r w:rsidRPr="00E83818">
        <w:rPr>
          <w:rFonts w:ascii="Arial" w:hAnsi="Arial" w:cs="Arial"/>
          <w:b/>
          <w:smallCaps/>
          <w:sz w:val="22"/>
          <w:szCs w:val="22"/>
        </w:rPr>
        <w:t>Relatório</w:t>
      </w:r>
      <w:r w:rsidRPr="00E83818">
        <w:rPr>
          <w:rFonts w:ascii="Arial" w:hAnsi="Arial" w:cs="Arial"/>
          <w:b/>
          <w:sz w:val="22"/>
          <w:szCs w:val="22"/>
        </w:rPr>
        <w:t>: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 w:rsidRPr="00B63B76">
        <w:rPr>
          <w:sz w:val="22"/>
          <w:szCs w:val="22"/>
        </w:rPr>
        <w:t>Trata-se de consulta tributária</w:t>
      </w:r>
      <w:r w:rsidR="000C2E7B">
        <w:rPr>
          <w:sz w:val="22"/>
          <w:szCs w:val="22"/>
        </w:rPr>
        <w:t xml:space="preserve"> </w:t>
      </w:r>
      <w:r w:rsidRPr="00B63B76">
        <w:rPr>
          <w:sz w:val="22"/>
          <w:szCs w:val="22"/>
        </w:rPr>
        <w:t>sobre interpretação da legislação tribut</w:t>
      </w:r>
      <w:r>
        <w:rPr>
          <w:sz w:val="22"/>
          <w:szCs w:val="22"/>
        </w:rPr>
        <w:t>ária quanto ao procedimento que deve ser adotado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na eventualidade de  não ter emitido Nota Fiscal Eletrônica (NF-e) de entrada e de saída por ocasião da importação e exportação de embarcações sob o Regime Especial de Admissão Temporária.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>A consulente expõe, às fls. 03/07, em síntese, o que segue: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>A empresa apresentou consulta tributária (Processo E-04/007/207//2015</w:t>
      </w:r>
      <w:proofErr w:type="gramStart"/>
      <w:r>
        <w:rPr>
          <w:sz w:val="22"/>
          <w:szCs w:val="22"/>
        </w:rPr>
        <w:t>),</w:t>
      </w:r>
      <w:proofErr w:type="gramEnd"/>
      <w:r w:rsidR="00A669C9">
        <w:rPr>
          <w:sz w:val="22"/>
          <w:szCs w:val="22"/>
        </w:rPr>
        <w:t>a</w:t>
      </w:r>
      <w:r>
        <w:rPr>
          <w:sz w:val="22"/>
          <w:szCs w:val="22"/>
        </w:rPr>
        <w:t xml:space="preserve"> esta Coordenação, na qual formulou os seguintes questionamentos: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</w:p>
    <w:p w:rsidR="005039CE" w:rsidRDefault="005039CE" w:rsidP="00D00F01">
      <w:pPr>
        <w:numPr>
          <w:ilvl w:val="0"/>
          <w:numId w:val="10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É correto o entendimento de que, não sendo a consulente contribuinte do ICMS, e estando a mesma cadastrada junto à Secretaria de Estado de Fazenda do Rio de Janeiro sob a modalidade de inscrição estadual facultativa, a legislação do Estado do Rio de Janeiro não a obriga a entregar os arquivos SINTEGRA</w:t>
      </w:r>
      <w:r w:rsidRPr="004A4E8A">
        <w:rPr>
          <w:i/>
          <w:sz w:val="22"/>
          <w:szCs w:val="22"/>
        </w:rPr>
        <w:t>?</w:t>
      </w:r>
      <w:r>
        <w:rPr>
          <w:sz w:val="22"/>
          <w:szCs w:val="22"/>
        </w:rPr>
        <w:t>”</w:t>
      </w:r>
    </w:p>
    <w:p w:rsidR="005039CE" w:rsidRDefault="005039CE" w:rsidP="00D00F01">
      <w:pPr>
        <w:numPr>
          <w:ilvl w:val="0"/>
          <w:numId w:val="10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É correto o entendimento de que a legislação do Estado do Rio de Janeiro não obriga a consulente a emitir Nota Fiscal de entrada quando da importação de embarcações sob Regime Especial de Admissão Temporária e Nota Fiscal de saída na exportação desses bens ao fim do referido regime?</w:t>
      </w:r>
      <w:r>
        <w:rPr>
          <w:sz w:val="22"/>
          <w:szCs w:val="22"/>
        </w:rPr>
        <w:t>”</w:t>
      </w:r>
    </w:p>
    <w:p w:rsidR="005039CE" w:rsidRDefault="005039CE" w:rsidP="00D00F01">
      <w:pPr>
        <w:ind w:right="-284"/>
        <w:rPr>
          <w:sz w:val="22"/>
          <w:szCs w:val="22"/>
        </w:rPr>
      </w:pP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resposta da CCJT foi de forma afirmativa em relação ao item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 e de maneira negativa  para o item 2), considerando, assim, que a consulente deveria emitir NF-e de entrada quando da importação de embarcações, sob o Regime Especial de Admissão Temporária, e também de emissão de nota fiscal de saída, quando da exportação das embarcações.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resposta negativa ao item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foi fundamentada no inciso VI do § 1.º do artigo 15 da Lei 2.657/96 que inclui entre os contribuintes do ICMS o importador ou qualquer pessoa física ou jurídica, de direito público ou privado, que promova importação de mercadoria ou bem do exterior qualquer que seja a finalidade. Neste sentido, o § 2.º do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mesmo artigo dispõe que “ </w:t>
      </w:r>
      <w:r w:rsidRPr="00ED24DC">
        <w:rPr>
          <w:i/>
          <w:sz w:val="22"/>
          <w:szCs w:val="22"/>
        </w:rPr>
        <w:t>as pessoas físicas ou jurídicas indicadas nos incisos VI, VII, VIII e XVII do parágrafo anterior são contribuintes do imposto independentemente da habitualidade  com que pratiquem as operações neles descritas</w:t>
      </w:r>
      <w:r>
        <w:rPr>
          <w:i/>
          <w:sz w:val="22"/>
          <w:szCs w:val="22"/>
        </w:rPr>
        <w:t>.”</w:t>
      </w:r>
      <w:r>
        <w:rPr>
          <w:sz w:val="22"/>
          <w:szCs w:val="22"/>
        </w:rPr>
        <w:t xml:space="preserve"> 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>A consulente recorreu da decisão proferida, no entanto, o recurso foi julgado improcedente e</w:t>
      </w:r>
      <w:r w:rsidR="00971525">
        <w:rPr>
          <w:sz w:val="22"/>
          <w:szCs w:val="22"/>
        </w:rPr>
        <w:t xml:space="preserve"> foi</w:t>
      </w:r>
      <w:r>
        <w:rPr>
          <w:sz w:val="22"/>
          <w:szCs w:val="22"/>
        </w:rPr>
        <w:t xml:space="preserve"> mantida a decisão desta Coordenação.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empresa alega que a legislação do Estado do Rio de Janeiro não trata de forma </w:t>
      </w:r>
      <w:r>
        <w:rPr>
          <w:sz w:val="22"/>
          <w:szCs w:val="22"/>
        </w:rPr>
        <w:lastRenderedPageBreak/>
        <w:t>completa a hipótese em que a pessoa jurídica deixou de emitir notas fiscais por entender não estar obrigada a tanto. A legislação somente prevê a aplicação de penalidade na situação em que, durante fiscalização, o Auditor Fiscal identifica que não houve emissão do documento fiscal ao tempo em que ocorreu a operação. A legislação não tratou da situação em que a própria pessoa jurídica verifica que deixou de emitir a nota fiscal ao tempo em que ocorreu a operação que exigia tal emissão e pretende fazê-lo posteriormente para regularizar a situação.</w:t>
      </w:r>
    </w:p>
    <w:p w:rsidR="005039CE" w:rsidRDefault="005039CE" w:rsidP="004F438E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Por outro lado, os sistemas de emissão da NF-e não contém orientação a respeito de emissão de tal documento fiscal quando este se refere à operação ocorrida no passado, ou seja, se a pessoa jurídica pretende, por exemplo,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emitir uma NF-e em 2015 para um fato gerador ocorrido em 2013.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Uma vez que foi informado pela </w:t>
      </w:r>
      <w:proofErr w:type="gramStart"/>
      <w:r>
        <w:rPr>
          <w:sz w:val="22"/>
          <w:szCs w:val="22"/>
        </w:rPr>
        <w:t>Inspetoria ,</w:t>
      </w:r>
      <w:proofErr w:type="gramEnd"/>
      <w:r>
        <w:rPr>
          <w:sz w:val="22"/>
          <w:szCs w:val="22"/>
        </w:rPr>
        <w:t xml:space="preserve"> às fls. 20, que a empresa se encontrava sob ação fiscal por meio do RAF nº 453751-47, o processo foi  reencaminhado à IRF 64.15 – Barra da Tijuca para informar se o referido RAF estava relacionado com a presente consulta e se resultou em Auto de Infração.</w:t>
      </w:r>
    </w:p>
    <w:p w:rsidR="005039CE" w:rsidRDefault="005039CE" w:rsidP="00D00F01">
      <w:pPr>
        <w:spacing w:before="240"/>
        <w:ind w:firstLine="708"/>
        <w:rPr>
          <w:sz w:val="22"/>
          <w:szCs w:val="22"/>
        </w:rPr>
      </w:pPr>
      <w:r>
        <w:rPr>
          <w:sz w:val="22"/>
          <w:szCs w:val="22"/>
        </w:rPr>
        <w:t>A IRF 64.15, às fls. 26, respondeu o que segue transcrito:</w:t>
      </w:r>
    </w:p>
    <w:p w:rsidR="005039CE" w:rsidRPr="00734DFB" w:rsidRDefault="005039CE" w:rsidP="00734DFB">
      <w:pPr>
        <w:pStyle w:val="PargrafodaLista"/>
        <w:numPr>
          <w:ilvl w:val="0"/>
          <w:numId w:val="11"/>
        </w:numPr>
        <w:spacing w:before="240"/>
        <w:rPr>
          <w:i/>
        </w:rPr>
      </w:pPr>
      <w:proofErr w:type="gramStart"/>
      <w:r>
        <w:rPr>
          <w:i/>
        </w:rPr>
        <w:t>“</w:t>
      </w:r>
      <w:r w:rsidRPr="00734DFB">
        <w:rPr>
          <w:i/>
        </w:rPr>
        <w:t>O RAF 45375107 foi gerando e distribuído ao AFRE em 22/10/2015 e devolvido em 28/12/2015, aguardando análise e encerramento pelo Inspetor.</w:t>
      </w:r>
      <w:proofErr w:type="gramEnd"/>
      <w:r w:rsidRPr="00734DFB">
        <w:rPr>
          <w:i/>
        </w:rPr>
        <w:t xml:space="preserve"> Não há registro de intimação no sistema </w:t>
      </w:r>
      <w:proofErr w:type="spellStart"/>
      <w:r w:rsidRPr="00734DFB">
        <w:rPr>
          <w:i/>
        </w:rPr>
        <w:t>Plafis</w:t>
      </w:r>
      <w:proofErr w:type="spellEnd"/>
      <w:r w:rsidRPr="00734DFB">
        <w:rPr>
          <w:i/>
        </w:rPr>
        <w:t>, portanto, s.m.j., apesar da existência da ordem de fiscalização, o contribuinte não esteve sob ação fiscal.</w:t>
      </w:r>
    </w:p>
    <w:p w:rsidR="005039CE" w:rsidRPr="00734DFB" w:rsidRDefault="005039CE" w:rsidP="00734DFB">
      <w:pPr>
        <w:pStyle w:val="PargrafodaLista"/>
        <w:numPr>
          <w:ilvl w:val="0"/>
          <w:numId w:val="11"/>
        </w:numPr>
        <w:spacing w:before="240"/>
        <w:rPr>
          <w:i/>
        </w:rPr>
      </w:pPr>
      <w:r w:rsidRPr="00734DFB">
        <w:rPr>
          <w:i/>
        </w:rPr>
        <w:t>O objetivo da supracitada ação fiscal era verificar o cumprimento de decisão em sede de consulta tributária de nº 065/2015, realizada nos autos do processo E-04/007/207/2015;</w:t>
      </w:r>
    </w:p>
    <w:p w:rsidR="005039CE" w:rsidRPr="00971525" w:rsidRDefault="005039CE" w:rsidP="00971525">
      <w:pPr>
        <w:pStyle w:val="PargrafodaLista"/>
        <w:numPr>
          <w:ilvl w:val="0"/>
          <w:numId w:val="11"/>
        </w:numPr>
        <w:spacing w:before="240"/>
        <w:rPr>
          <w:i/>
        </w:rPr>
      </w:pPr>
      <w:r w:rsidRPr="00734DFB">
        <w:rPr>
          <w:i/>
        </w:rPr>
        <w:t xml:space="preserve">Ainda em consulta ao sistema </w:t>
      </w:r>
      <w:proofErr w:type="spellStart"/>
      <w:r w:rsidRPr="00734DFB">
        <w:rPr>
          <w:i/>
        </w:rPr>
        <w:t>Plafis</w:t>
      </w:r>
      <w:proofErr w:type="spellEnd"/>
      <w:r w:rsidRPr="00734DFB">
        <w:rPr>
          <w:i/>
        </w:rPr>
        <w:t xml:space="preserve">, não foi identificada a lavratura de qualquer Auto de Infração relacionado </w:t>
      </w:r>
      <w:proofErr w:type="gramStart"/>
      <w:r w:rsidRPr="00734DFB">
        <w:rPr>
          <w:i/>
        </w:rPr>
        <w:t>a</w:t>
      </w:r>
      <w:proofErr w:type="gramEnd"/>
      <w:r w:rsidRPr="00734DFB">
        <w:rPr>
          <w:i/>
        </w:rPr>
        <w:t xml:space="preserve"> referida ação fiscal.”  </w:t>
      </w:r>
    </w:p>
    <w:p w:rsidR="005039CE" w:rsidRPr="00B63B76" w:rsidRDefault="005039CE" w:rsidP="003F6D78">
      <w:pPr>
        <w:ind w:firstLine="708"/>
        <w:rPr>
          <w:sz w:val="22"/>
          <w:szCs w:val="22"/>
        </w:rPr>
      </w:pPr>
      <w:r w:rsidRPr="00B63B76">
        <w:rPr>
          <w:sz w:val="22"/>
          <w:szCs w:val="22"/>
        </w:rPr>
        <w:t>O processo encontra-se instruído com cópia</w:t>
      </w:r>
      <w:r>
        <w:rPr>
          <w:sz w:val="22"/>
          <w:szCs w:val="22"/>
        </w:rPr>
        <w:t>s</w:t>
      </w:r>
      <w:r w:rsidRPr="00B63B76">
        <w:rPr>
          <w:sz w:val="22"/>
          <w:szCs w:val="22"/>
        </w:rPr>
        <w:t xml:space="preserve"> de documento</w:t>
      </w:r>
      <w:r w:rsidR="003B3CED">
        <w:rPr>
          <w:sz w:val="22"/>
          <w:szCs w:val="22"/>
        </w:rPr>
        <w:t>s, às fls. 19</w:t>
      </w:r>
      <w:r>
        <w:rPr>
          <w:sz w:val="22"/>
          <w:szCs w:val="22"/>
        </w:rPr>
        <w:t xml:space="preserve">, </w:t>
      </w:r>
      <w:r w:rsidRPr="00B63B76">
        <w:rPr>
          <w:sz w:val="22"/>
          <w:szCs w:val="22"/>
        </w:rPr>
        <w:t xml:space="preserve">que comprovam o pagamento da TSE e documentos, às fls. </w:t>
      </w:r>
      <w:r w:rsidR="003B3CED">
        <w:rPr>
          <w:sz w:val="22"/>
          <w:szCs w:val="22"/>
        </w:rPr>
        <w:t>09 a 1</w:t>
      </w:r>
      <w:r>
        <w:rPr>
          <w:sz w:val="22"/>
          <w:szCs w:val="22"/>
        </w:rPr>
        <w:t>8</w:t>
      </w:r>
      <w:r w:rsidRPr="00B63B76">
        <w:rPr>
          <w:sz w:val="22"/>
          <w:szCs w:val="22"/>
        </w:rPr>
        <w:t>, que comprovam a habilitação do signatário da petição inicial.</w:t>
      </w:r>
    </w:p>
    <w:p w:rsidR="005039CE" w:rsidRDefault="005039CE" w:rsidP="008447B0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  <w:sz w:val="22"/>
          <w:szCs w:val="22"/>
        </w:rPr>
      </w:pPr>
    </w:p>
    <w:p w:rsidR="005039CE" w:rsidRDefault="005039CE" w:rsidP="00911FC2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II - </w:t>
      </w:r>
      <w:proofErr w:type="gramStart"/>
      <w:r w:rsidRPr="00E83818">
        <w:rPr>
          <w:rFonts w:ascii="Arial" w:hAnsi="Arial" w:cs="Arial"/>
          <w:b/>
          <w:smallCaps/>
          <w:sz w:val="22"/>
          <w:szCs w:val="22"/>
        </w:rPr>
        <w:t>Isto posto</w:t>
      </w:r>
      <w:proofErr w:type="gramEnd"/>
      <w:r w:rsidRPr="00E83818">
        <w:rPr>
          <w:rFonts w:ascii="Arial" w:hAnsi="Arial" w:cs="Arial"/>
          <w:b/>
          <w:smallCaps/>
          <w:sz w:val="22"/>
          <w:szCs w:val="22"/>
        </w:rPr>
        <w:t>, Consulta:</w:t>
      </w:r>
    </w:p>
    <w:p w:rsidR="005039CE" w:rsidRPr="00911FC2" w:rsidRDefault="005039CE" w:rsidP="00911FC2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  <w:sz w:val="22"/>
          <w:szCs w:val="22"/>
        </w:rPr>
      </w:pPr>
    </w:p>
    <w:p w:rsidR="005039CE" w:rsidRPr="0082473D" w:rsidRDefault="005039CE" w:rsidP="001429FA">
      <w:pPr>
        <w:rPr>
          <w:b/>
          <w:i/>
          <w:sz w:val="24"/>
        </w:rPr>
      </w:pPr>
      <w:r>
        <w:rPr>
          <w:i/>
          <w:sz w:val="24"/>
        </w:rPr>
        <w:t>“</w:t>
      </w:r>
      <w:r w:rsidRPr="0082473D">
        <w:rPr>
          <w:i/>
          <w:sz w:val="24"/>
        </w:rPr>
        <w:t>Tendo em vista (i) que no âmbito do processo de consulta e-04/007/207//2015 esta Superintendência de Tributação decidiu que a Consulente não está dispensada de emitir nota fiscal e (</w:t>
      </w:r>
      <w:proofErr w:type="spellStart"/>
      <w:proofErr w:type="gramStart"/>
      <w:r w:rsidRPr="0082473D">
        <w:rPr>
          <w:i/>
          <w:sz w:val="24"/>
        </w:rPr>
        <w:t>ii</w:t>
      </w:r>
      <w:proofErr w:type="spellEnd"/>
      <w:proofErr w:type="gramEnd"/>
      <w:r w:rsidRPr="0082473D">
        <w:rPr>
          <w:i/>
          <w:sz w:val="24"/>
        </w:rPr>
        <w:t xml:space="preserve">) que inexiste na legislação tributária do Estado do Rio de Janeiro normatização específica tratando de hipótese em que a pessoa jurídica deixou de emitir notas fiscais ao tempo em que realizou a operação, bem como inexiste orientação nos manuais do Sistema Público de Escrituração Digital sobre a questão, </w:t>
      </w:r>
      <w:r w:rsidRPr="0082473D">
        <w:rPr>
          <w:b/>
          <w:i/>
          <w:sz w:val="24"/>
        </w:rPr>
        <w:t>qual o procedimento a Consulente deve adotar na eventualidade de não ter emitido NF-e em relação às operações ocorridas antes da intimação da decisão proferida no processo de consulta E-04/007/207//2015?</w:t>
      </w:r>
      <w:r>
        <w:rPr>
          <w:b/>
          <w:i/>
          <w:sz w:val="24"/>
        </w:rPr>
        <w:t>”</w:t>
      </w:r>
    </w:p>
    <w:p w:rsidR="005039CE" w:rsidRDefault="005039CE" w:rsidP="00911FC2">
      <w:pPr>
        <w:tabs>
          <w:tab w:val="left" w:pos="2520"/>
        </w:tabs>
        <w:ind w:right="-710" w:firstLine="567"/>
        <w:rPr>
          <w:rFonts w:ascii="Arial" w:hAnsi="Arial" w:cs="Arial"/>
          <w:b/>
          <w:sz w:val="22"/>
          <w:szCs w:val="22"/>
        </w:rPr>
      </w:pPr>
    </w:p>
    <w:p w:rsidR="005039CE" w:rsidRPr="0096207C" w:rsidRDefault="005039CE" w:rsidP="0096207C">
      <w:pPr>
        <w:tabs>
          <w:tab w:val="left" w:pos="2520"/>
        </w:tabs>
        <w:ind w:right="-710" w:firstLine="567"/>
        <w:rPr>
          <w:rFonts w:ascii="Arial" w:hAnsi="Arial" w:cs="Arial"/>
          <w:b/>
          <w:sz w:val="22"/>
          <w:szCs w:val="22"/>
        </w:rPr>
      </w:pPr>
      <w:r w:rsidRPr="00E83818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E83818">
        <w:rPr>
          <w:rFonts w:ascii="Arial" w:hAnsi="Arial" w:cs="Arial"/>
          <w:b/>
          <w:sz w:val="22"/>
          <w:szCs w:val="22"/>
        </w:rPr>
        <w:t xml:space="preserve"> – </w:t>
      </w:r>
      <w:r w:rsidRPr="001452C9">
        <w:rPr>
          <w:rFonts w:ascii="Arial" w:hAnsi="Arial" w:cs="Arial"/>
          <w:b/>
          <w:smallCaps/>
          <w:sz w:val="22"/>
          <w:szCs w:val="22"/>
        </w:rPr>
        <w:t>Resposta</w:t>
      </w:r>
      <w:r w:rsidRPr="00E8381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5039CE" w:rsidRDefault="005039CE" w:rsidP="0083369D">
      <w:pPr>
        <w:spacing w:before="240"/>
        <w:ind w:firstLine="708"/>
        <w:rPr>
          <w:sz w:val="24"/>
        </w:rPr>
      </w:pPr>
      <w:r w:rsidRPr="00082BB4">
        <w:rPr>
          <w:sz w:val="24"/>
        </w:rPr>
        <w:lastRenderedPageBreak/>
        <w:t>Preliminarmente,</w:t>
      </w:r>
      <w:r w:rsidR="009C48B2">
        <w:rPr>
          <w:sz w:val="24"/>
        </w:rPr>
        <w:t xml:space="preserve"> em que pese </w:t>
      </w:r>
      <w:proofErr w:type="gramStart"/>
      <w:r w:rsidR="009C48B2">
        <w:rPr>
          <w:sz w:val="24"/>
        </w:rPr>
        <w:t>a</w:t>
      </w:r>
      <w:proofErr w:type="gramEnd"/>
      <w:r w:rsidR="009C48B2">
        <w:rPr>
          <w:sz w:val="24"/>
        </w:rPr>
        <w:t xml:space="preserve"> declaração da IRF 64.15, às fls.26,</w:t>
      </w:r>
      <w:r w:rsidRPr="00082BB4">
        <w:rPr>
          <w:sz w:val="24"/>
        </w:rPr>
        <w:t xml:space="preserve"> </w:t>
      </w:r>
      <w:r>
        <w:rPr>
          <w:sz w:val="24"/>
        </w:rPr>
        <w:t xml:space="preserve">cumpre </w:t>
      </w:r>
      <w:r w:rsidRPr="00082BB4">
        <w:rPr>
          <w:sz w:val="24"/>
        </w:rPr>
        <w:t>ressalt</w:t>
      </w:r>
      <w:r>
        <w:rPr>
          <w:sz w:val="24"/>
        </w:rPr>
        <w:t>ar</w:t>
      </w:r>
      <w:r w:rsidRPr="00082BB4">
        <w:rPr>
          <w:sz w:val="24"/>
        </w:rPr>
        <w:t xml:space="preserve"> que, conforme disposto na Resolução SEFAZ 45/07, a competência da Superintendência de Tributação, bem como da Coordenação de Consultas Jurídico-Tributárias abrange a interpretação de legislação em tese, cabendo </w:t>
      </w:r>
      <w:r w:rsidR="0083369D" w:rsidRPr="00082BB4">
        <w:rPr>
          <w:sz w:val="24"/>
        </w:rPr>
        <w:t>à autori</w:t>
      </w:r>
      <w:r w:rsidR="0083369D">
        <w:rPr>
          <w:sz w:val="24"/>
        </w:rPr>
        <w:t>dade fiscalizadora ou julgadora a</w:t>
      </w:r>
      <w:r w:rsidRPr="00082BB4">
        <w:rPr>
          <w:sz w:val="24"/>
        </w:rPr>
        <w:t xml:space="preserve"> verificação da adequação da norma ao caso concreto exclusivamente </w:t>
      </w:r>
    </w:p>
    <w:p w:rsidR="00A9152B" w:rsidRPr="00A9152B" w:rsidRDefault="00D55572" w:rsidP="00A9152B">
      <w:pPr>
        <w:spacing w:before="240"/>
        <w:ind w:firstLine="708"/>
        <w:rPr>
          <w:sz w:val="24"/>
        </w:rPr>
      </w:pPr>
      <w:r>
        <w:rPr>
          <w:sz w:val="24"/>
        </w:rPr>
        <w:t>Destacamos</w:t>
      </w:r>
      <w:r w:rsidR="00971525">
        <w:rPr>
          <w:sz w:val="24"/>
        </w:rPr>
        <w:t xml:space="preserve"> que foi feita consulta</w:t>
      </w:r>
      <w:r w:rsidR="00A9152B">
        <w:rPr>
          <w:sz w:val="24"/>
        </w:rPr>
        <w:t>, p</w:t>
      </w:r>
      <w:r w:rsidR="009C48B2">
        <w:rPr>
          <w:sz w:val="24"/>
        </w:rPr>
        <w:t>a</w:t>
      </w:r>
      <w:r w:rsidR="00A9152B">
        <w:rPr>
          <w:sz w:val="24"/>
        </w:rPr>
        <w:t>ra</w:t>
      </w:r>
      <w:r w:rsidR="009C48B2">
        <w:rPr>
          <w:sz w:val="24"/>
        </w:rPr>
        <w:t xml:space="preserve"> caso análogo</w:t>
      </w:r>
      <w:r>
        <w:rPr>
          <w:sz w:val="24"/>
        </w:rPr>
        <w:t xml:space="preserve">, </w:t>
      </w:r>
      <w:r w:rsidR="00A9152B">
        <w:rPr>
          <w:sz w:val="24"/>
        </w:rPr>
        <w:t>por meio do</w:t>
      </w:r>
      <w:r w:rsidR="009C48B2">
        <w:rPr>
          <w:sz w:val="24"/>
        </w:rPr>
        <w:t xml:space="preserve"> Processo n.º </w:t>
      </w:r>
      <w:r w:rsidR="009C48B2" w:rsidRPr="00A9152B">
        <w:rPr>
          <w:sz w:val="24"/>
        </w:rPr>
        <w:t xml:space="preserve">E-04/020/423//2015, de </w:t>
      </w:r>
      <w:r w:rsidR="00A9152B" w:rsidRPr="00A9152B">
        <w:rPr>
          <w:sz w:val="24"/>
        </w:rPr>
        <w:t>12/05/2015.</w:t>
      </w:r>
    </w:p>
    <w:p w:rsidR="00A9152B" w:rsidRDefault="00A9152B" w:rsidP="00A9152B">
      <w:pPr>
        <w:spacing w:before="240"/>
        <w:ind w:firstLine="708"/>
        <w:rPr>
          <w:sz w:val="24"/>
        </w:rPr>
      </w:pPr>
      <w:r w:rsidRPr="00A9152B">
        <w:rPr>
          <w:sz w:val="24"/>
        </w:rPr>
        <w:t>Na referi</w:t>
      </w:r>
      <w:r>
        <w:rPr>
          <w:sz w:val="24"/>
        </w:rPr>
        <w:t>da consulta, o contribuinte</w:t>
      </w:r>
      <w:r w:rsidR="0083369D">
        <w:rPr>
          <w:sz w:val="24"/>
        </w:rPr>
        <w:t xml:space="preserve"> informou que</w:t>
      </w:r>
      <w:r>
        <w:rPr>
          <w:sz w:val="24"/>
        </w:rPr>
        <w:t xml:space="preserve"> não emitiu notas fiscais de entrada das mercadorias importadas, bem como não escriturou tais operações em seus livros fiscais, inclusive os créditos delas decorrentes</w:t>
      </w:r>
      <w:r w:rsidR="0083369D">
        <w:rPr>
          <w:sz w:val="24"/>
        </w:rPr>
        <w:t>. Em seguida,</w:t>
      </w:r>
      <w:r>
        <w:rPr>
          <w:sz w:val="24"/>
        </w:rPr>
        <w:t xml:space="preserve"> </w:t>
      </w:r>
      <w:r w:rsidR="0083369D">
        <w:rPr>
          <w:sz w:val="24"/>
        </w:rPr>
        <w:t>apresentou o seu</w:t>
      </w:r>
      <w:r w:rsidR="00971525">
        <w:rPr>
          <w:sz w:val="24"/>
        </w:rPr>
        <w:t xml:space="preserve"> entendimento</w:t>
      </w:r>
      <w:r w:rsidR="0083369D">
        <w:rPr>
          <w:sz w:val="24"/>
        </w:rPr>
        <w:t xml:space="preserve"> quanto à matéria</w:t>
      </w:r>
      <w:r>
        <w:rPr>
          <w:sz w:val="24"/>
        </w:rPr>
        <w:t>:</w:t>
      </w:r>
    </w:p>
    <w:p w:rsidR="00A9152B" w:rsidRDefault="00A9152B" w:rsidP="00A9152B">
      <w:pPr>
        <w:spacing w:before="240"/>
        <w:ind w:firstLine="708"/>
        <w:rPr>
          <w:sz w:val="24"/>
        </w:rPr>
      </w:pPr>
    </w:p>
    <w:p w:rsidR="00A9152B" w:rsidRDefault="00A9152B" w:rsidP="00A9152B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“</w:t>
      </w:r>
      <w:r w:rsidRPr="00D93C7E">
        <w:rPr>
          <w:i/>
          <w:sz w:val="24"/>
        </w:rPr>
        <w:t>providenciar a emissão extemporânea das notas fiscais de entrada referente à</w:t>
      </w:r>
      <w:r>
        <w:rPr>
          <w:i/>
          <w:sz w:val="24"/>
        </w:rPr>
        <w:t>s</w:t>
      </w:r>
      <w:r w:rsidRPr="00D93C7E">
        <w:rPr>
          <w:i/>
          <w:sz w:val="24"/>
        </w:rPr>
        <w:t xml:space="preserve"> mercadorias que foram importadas entre 2009 e 2014, tomando por base o que consta no Anexo da Resolução nº 720/14</w:t>
      </w:r>
      <w:r>
        <w:rPr>
          <w:sz w:val="24"/>
        </w:rPr>
        <w:t>”;</w:t>
      </w:r>
    </w:p>
    <w:p w:rsidR="00A9152B" w:rsidRPr="00D55572" w:rsidRDefault="00A9152B" w:rsidP="00D55572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entender ainda vigente o disposto no art.30, §4º, do Livro I do Regulamento do ICMS anteriormente ao Decreto nº 44.542/2013, para que promova a escrituração extemporânea dos documentos fiscais que serão emitidos, sendo que, em caso positivo, utiliza-se da presente para comunicar o fato à autoridade fazendária.</w:t>
      </w:r>
      <w:r>
        <w:rPr>
          <w:sz w:val="24"/>
        </w:rPr>
        <w:t>”</w:t>
      </w:r>
      <w:r>
        <w:rPr>
          <w:i/>
          <w:sz w:val="24"/>
        </w:rPr>
        <w:t xml:space="preserve"> </w:t>
      </w:r>
    </w:p>
    <w:p w:rsidR="005039CE" w:rsidRDefault="00A9152B" w:rsidP="0083369D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“</w:t>
      </w:r>
      <w:r w:rsidRPr="00D93C7E">
        <w:rPr>
          <w:i/>
          <w:sz w:val="24"/>
        </w:rPr>
        <w:t>providenciar a emissão extemporânea das notas fiscais de entrada referente à</w:t>
      </w:r>
      <w:r>
        <w:rPr>
          <w:i/>
          <w:sz w:val="24"/>
        </w:rPr>
        <w:t>s</w:t>
      </w:r>
      <w:r w:rsidRPr="00D93C7E">
        <w:rPr>
          <w:i/>
          <w:sz w:val="24"/>
        </w:rPr>
        <w:t xml:space="preserve"> mercadorias que foram importadas entre 2009 e 2014, tomando por base o que consta no Anexo da Resolução nº 720/14</w:t>
      </w:r>
      <w:proofErr w:type="gramStart"/>
      <w:r w:rsidR="0083369D">
        <w:rPr>
          <w:sz w:val="24"/>
        </w:rPr>
        <w:t>”</w:t>
      </w:r>
      <w:proofErr w:type="gramEnd"/>
    </w:p>
    <w:p w:rsidR="000C2E7B" w:rsidRDefault="000C2E7B" w:rsidP="00D55572">
      <w:pPr>
        <w:pStyle w:val="Recuodecorpodetexto"/>
        <w:ind w:right="-1"/>
        <w:rPr>
          <w:rFonts w:ascii="Times New Roman" w:hAnsi="Times New Roman"/>
          <w:sz w:val="24"/>
          <w:szCs w:val="24"/>
          <w:lang w:eastAsia="pt-BR"/>
        </w:rPr>
      </w:pPr>
    </w:p>
    <w:p w:rsidR="004319CA" w:rsidRPr="00CB5532" w:rsidRDefault="004319CA" w:rsidP="00D55572">
      <w:pPr>
        <w:pStyle w:val="Recuodecorpodetexto"/>
        <w:ind w:right="-1"/>
        <w:rPr>
          <w:rFonts w:ascii="Times New Roman" w:hAnsi="Times New Roman"/>
          <w:i/>
          <w:sz w:val="24"/>
          <w:szCs w:val="24"/>
          <w:lang w:eastAsia="pt-BR"/>
        </w:rPr>
      </w:pPr>
      <w:r w:rsidRPr="00CB5532">
        <w:rPr>
          <w:rFonts w:ascii="Times New Roman" w:hAnsi="Times New Roman"/>
          <w:sz w:val="24"/>
          <w:szCs w:val="24"/>
          <w:lang w:eastAsia="pt-BR"/>
        </w:rPr>
        <w:t>Na ocasião, esta Co</w:t>
      </w:r>
      <w:r w:rsidR="0083369D">
        <w:rPr>
          <w:rFonts w:ascii="Times New Roman" w:hAnsi="Times New Roman"/>
          <w:sz w:val="24"/>
          <w:szCs w:val="24"/>
          <w:lang w:eastAsia="pt-BR"/>
        </w:rPr>
        <w:t>ordenação encaminhou o aludido processo (</w:t>
      </w:r>
      <w:r w:rsidR="0083369D" w:rsidRPr="00A9152B">
        <w:rPr>
          <w:sz w:val="24"/>
        </w:rPr>
        <w:t>E-04/020/423//2015</w:t>
      </w:r>
      <w:r w:rsidR="0083369D">
        <w:rPr>
          <w:sz w:val="24"/>
        </w:rPr>
        <w:t>)</w:t>
      </w:r>
      <w:r w:rsidR="0083369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B5532">
        <w:rPr>
          <w:rFonts w:ascii="Times New Roman" w:hAnsi="Times New Roman"/>
          <w:sz w:val="24"/>
          <w:szCs w:val="24"/>
          <w:lang w:eastAsia="pt-BR"/>
        </w:rPr>
        <w:t xml:space="preserve">à SUPLAM (Grupo Gestor da NF-e) para manifestação acerca </w:t>
      </w:r>
      <w:proofErr w:type="gramStart"/>
      <w:r w:rsidRPr="00CB5532">
        <w:rPr>
          <w:rFonts w:ascii="Times New Roman" w:hAnsi="Times New Roman"/>
          <w:sz w:val="24"/>
          <w:szCs w:val="24"/>
          <w:lang w:eastAsia="pt-BR"/>
        </w:rPr>
        <w:t>do</w:t>
      </w:r>
      <w:proofErr w:type="gramEnd"/>
      <w:r w:rsidRPr="00CB5532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CB5532">
        <w:rPr>
          <w:rFonts w:ascii="Times New Roman" w:hAnsi="Times New Roman"/>
          <w:sz w:val="24"/>
          <w:szCs w:val="24"/>
          <w:lang w:eastAsia="pt-BR"/>
        </w:rPr>
        <w:t>que</w:t>
      </w:r>
      <w:proofErr w:type="gramEnd"/>
      <w:r w:rsidRPr="00CB5532">
        <w:rPr>
          <w:rFonts w:ascii="Times New Roman" w:hAnsi="Times New Roman"/>
          <w:sz w:val="24"/>
          <w:szCs w:val="24"/>
          <w:lang w:eastAsia="pt-BR"/>
        </w:rPr>
        <w:t xml:space="preserve"> foi requerido nos itens</w:t>
      </w:r>
      <w:r w:rsidR="0083369D">
        <w:rPr>
          <w:rFonts w:ascii="Times New Roman" w:hAnsi="Times New Roman"/>
          <w:sz w:val="24"/>
          <w:szCs w:val="24"/>
          <w:lang w:eastAsia="pt-BR"/>
        </w:rPr>
        <w:t xml:space="preserve"> acima citados</w:t>
      </w:r>
      <w:r w:rsidRPr="00CB5532">
        <w:rPr>
          <w:rFonts w:ascii="Times New Roman" w:hAnsi="Times New Roman"/>
          <w:sz w:val="24"/>
          <w:szCs w:val="24"/>
          <w:lang w:eastAsia="pt-BR"/>
        </w:rPr>
        <w:t>. Por conseguinte, a SUPLAM juntou aos autos despacho respondendo ao questionamento, no seguinte sentido</w:t>
      </w:r>
      <w:r w:rsidRPr="00CB5532">
        <w:rPr>
          <w:rFonts w:ascii="Times New Roman" w:hAnsi="Times New Roman"/>
          <w:i/>
          <w:sz w:val="24"/>
          <w:szCs w:val="24"/>
          <w:lang w:eastAsia="pt-BR"/>
        </w:rPr>
        <w:t>:</w:t>
      </w:r>
      <w:proofErr w:type="gramStart"/>
      <w:r w:rsidRPr="00CB5532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r w:rsidR="009E1066" w:rsidRPr="00CB5532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</w:p>
    <w:p w:rsidR="009E1066" w:rsidRPr="00CB5532" w:rsidRDefault="009E1066" w:rsidP="00D55572">
      <w:pPr>
        <w:pStyle w:val="Recuodecorpodetexto"/>
        <w:ind w:right="-1"/>
        <w:rPr>
          <w:rFonts w:ascii="Times New Roman" w:hAnsi="Times New Roman"/>
          <w:i/>
          <w:sz w:val="24"/>
          <w:szCs w:val="24"/>
          <w:lang w:eastAsia="pt-BR"/>
        </w:rPr>
      </w:pPr>
      <w:proofErr w:type="gramEnd"/>
    </w:p>
    <w:p w:rsidR="004319CA" w:rsidRDefault="004319CA" w:rsidP="00D55572">
      <w:pPr>
        <w:pStyle w:val="Recuodecorpodetexto"/>
        <w:ind w:right="-1"/>
        <w:rPr>
          <w:rFonts w:ascii="Times New Roman" w:hAnsi="Times New Roman"/>
          <w:i/>
          <w:szCs w:val="22"/>
          <w:lang w:eastAsia="pt-BR"/>
        </w:rPr>
      </w:pPr>
      <w:r w:rsidRPr="004319CA">
        <w:rPr>
          <w:rFonts w:ascii="Times New Roman" w:hAnsi="Times New Roman"/>
          <w:i/>
          <w:szCs w:val="22"/>
          <w:lang w:eastAsia="pt-BR"/>
        </w:rPr>
        <w:t xml:space="preserve">“Em resposta ao item I da folha 39, o Grupo Gestor da Nota Fiscal Eletrônica informa que operacionalmente </w:t>
      </w:r>
      <w:r w:rsidRPr="0083369D">
        <w:rPr>
          <w:rFonts w:ascii="Times New Roman" w:hAnsi="Times New Roman"/>
          <w:i/>
          <w:szCs w:val="22"/>
          <w:u w:val="single"/>
          <w:lang w:eastAsia="pt-BR"/>
        </w:rPr>
        <w:t>não há a possibilidade</w:t>
      </w:r>
      <w:r w:rsidRPr="004319CA">
        <w:rPr>
          <w:rFonts w:ascii="Times New Roman" w:hAnsi="Times New Roman"/>
          <w:i/>
          <w:szCs w:val="22"/>
          <w:lang w:eastAsia="pt-BR"/>
        </w:rPr>
        <w:t xml:space="preserve"> de emissão extemporânea da nota fiscal eletrônica, pois ocorrerá a rejeição 228 – Data de Emissão muito atrasada (Data de Emissão ocorrida há mais de 30 dias), de acordo com o Manual de Orientação do Contribuinte, versão 5.0., página 30.”</w:t>
      </w:r>
    </w:p>
    <w:p w:rsidR="004319CA" w:rsidRPr="00CB5532" w:rsidRDefault="009E1066" w:rsidP="00D55572">
      <w:pPr>
        <w:pStyle w:val="Recuodecorpodetexto"/>
        <w:ind w:right="-1"/>
        <w:rPr>
          <w:rFonts w:ascii="Times New Roman" w:hAnsi="Times New Roman"/>
          <w:sz w:val="24"/>
          <w:szCs w:val="24"/>
          <w:lang w:eastAsia="pt-BR"/>
        </w:rPr>
      </w:pPr>
      <w:r>
        <w:rPr>
          <w:szCs w:val="22"/>
        </w:rPr>
        <w:tab/>
      </w:r>
    </w:p>
    <w:p w:rsidR="0083369D" w:rsidRDefault="0083369D" w:rsidP="00D55572">
      <w:pPr>
        <w:pStyle w:val="Recuodecorpodetexto"/>
        <w:ind w:right="-1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lastRenderedPageBreak/>
        <w:t>Esta Coordenação, quando da</w:t>
      </w:r>
      <w:r w:rsidR="009E1066" w:rsidRPr="00CB5532">
        <w:rPr>
          <w:rFonts w:ascii="Times New Roman" w:hAnsi="Times New Roman"/>
          <w:sz w:val="24"/>
          <w:szCs w:val="24"/>
          <w:lang w:eastAsia="pt-BR"/>
        </w:rPr>
        <w:t xml:space="preserve"> análise e funda</w:t>
      </w:r>
      <w:r>
        <w:rPr>
          <w:rFonts w:ascii="Times New Roman" w:hAnsi="Times New Roman"/>
          <w:sz w:val="24"/>
          <w:szCs w:val="24"/>
          <w:lang w:eastAsia="pt-BR"/>
        </w:rPr>
        <w:t>mentação da mencionada consulta, pronunciou-se nos seguintes termos:</w:t>
      </w:r>
    </w:p>
    <w:p w:rsidR="009E1066" w:rsidRPr="00CB5532" w:rsidRDefault="0083369D" w:rsidP="00D55572">
      <w:pPr>
        <w:pStyle w:val="Recuodecorpodetexto"/>
        <w:ind w:right="-1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>“[...] A falta de emissão de documento fiscal é infração à legislação tributária que acarreta débito do imposto, conforme artigo 62 C</w:t>
      </w:r>
      <w:proofErr w:type="gramStart"/>
      <w:r w:rsidRPr="0074391C">
        <w:rPr>
          <w:rFonts w:ascii="Times New Roman" w:hAnsi="Times New Roman"/>
          <w:sz w:val="20"/>
          <w:lang w:eastAsia="pt-BR"/>
        </w:rPr>
        <w:t xml:space="preserve">  </w:t>
      </w:r>
      <w:proofErr w:type="gramEnd"/>
      <w:r w:rsidRPr="0074391C">
        <w:rPr>
          <w:rFonts w:ascii="Times New Roman" w:hAnsi="Times New Roman"/>
          <w:sz w:val="20"/>
          <w:lang w:eastAsia="pt-BR"/>
        </w:rPr>
        <w:t>da Lei 2.657/1996. Observe, ainda, caso tenha se creditado indevidamente, o que dispõe o inciso I</w:t>
      </w:r>
      <w:r w:rsidRPr="0074391C">
        <w:rPr>
          <w:rFonts w:ascii="Times New Roman" w:hAnsi="Times New Roman"/>
          <w:sz w:val="20"/>
          <w:lang w:eastAsia="pt-BR"/>
        </w:rPr>
        <w:footnoteReference w:id="1"/>
      </w:r>
      <w:r w:rsidRPr="0074391C">
        <w:rPr>
          <w:rFonts w:ascii="Times New Roman" w:hAnsi="Times New Roman"/>
          <w:sz w:val="20"/>
          <w:lang w:eastAsia="pt-BR"/>
        </w:rPr>
        <w:t xml:space="preserve"> do artigo 60 da mesma lei.</w:t>
      </w: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 xml:space="preserve">Imprescindível registrar que na legislação tributária fluminense não há autorização para a emissão de nota fiscal com data pretérita, assim como não existe permissão para escrituração fiscal em atraso por mais de </w:t>
      </w:r>
      <w:proofErr w:type="gramStart"/>
      <w:r w:rsidRPr="0074391C">
        <w:rPr>
          <w:rFonts w:ascii="Times New Roman" w:hAnsi="Times New Roman"/>
          <w:sz w:val="20"/>
          <w:lang w:eastAsia="pt-BR"/>
        </w:rPr>
        <w:t>5</w:t>
      </w:r>
      <w:proofErr w:type="gramEnd"/>
      <w:r w:rsidRPr="0074391C">
        <w:rPr>
          <w:rFonts w:ascii="Times New Roman" w:hAnsi="Times New Roman"/>
          <w:sz w:val="20"/>
          <w:lang w:eastAsia="pt-BR"/>
        </w:rPr>
        <w:t xml:space="preserve"> (cinco) dias, nos termos do artigo 65 do Convênio s/nº 70. </w:t>
      </w:r>
    </w:p>
    <w:p w:rsidR="00CB5532" w:rsidRPr="0074391C" w:rsidRDefault="00CB5532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 xml:space="preserve">Ratificando o posicionamento exarado, a SUPLAM informou, conforme fl. 41, que não há a possibilidade de emissão extemporânea da nota fiscal de entrada eletrônica, ocorrendo </w:t>
      </w:r>
      <w:proofErr w:type="gramStart"/>
      <w:r w:rsidRPr="0074391C">
        <w:rPr>
          <w:rFonts w:ascii="Times New Roman" w:hAnsi="Times New Roman"/>
          <w:sz w:val="20"/>
          <w:lang w:eastAsia="pt-BR"/>
        </w:rPr>
        <w:t>a</w:t>
      </w:r>
      <w:proofErr w:type="gramEnd"/>
      <w:r w:rsidRPr="0074391C">
        <w:rPr>
          <w:rFonts w:ascii="Times New Roman" w:hAnsi="Times New Roman"/>
          <w:sz w:val="20"/>
          <w:lang w:eastAsia="pt-BR"/>
        </w:rPr>
        <w:t xml:space="preserve"> rejeição 228 – data de Emissão muito atrasada. </w:t>
      </w:r>
    </w:p>
    <w:p w:rsidR="00CB5532" w:rsidRPr="0074391C" w:rsidRDefault="00CB5532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 xml:space="preserve">Desta forma, e considerando o disposto no § 4º do artigo 30 do Livro I do RICMS/RJ, o contribuinte deve apresentar denúncia espontânea na repartição fiscal de sua vinculação, nos termos do artigo 68 da Lei nº 2.657/1996, </w:t>
      </w:r>
      <w:r w:rsidRPr="0074391C">
        <w:rPr>
          <w:rFonts w:ascii="Times New Roman" w:hAnsi="Times New Roman"/>
          <w:i/>
          <w:sz w:val="20"/>
          <w:lang w:eastAsia="pt-BR"/>
        </w:rPr>
        <w:t xml:space="preserve">in </w:t>
      </w:r>
      <w:proofErr w:type="spellStart"/>
      <w:r w:rsidRPr="0074391C">
        <w:rPr>
          <w:rFonts w:ascii="Times New Roman" w:hAnsi="Times New Roman"/>
          <w:i/>
          <w:sz w:val="20"/>
          <w:lang w:eastAsia="pt-BR"/>
        </w:rPr>
        <w:t>verbis</w:t>
      </w:r>
      <w:proofErr w:type="spellEnd"/>
      <w:r w:rsidRPr="0074391C">
        <w:rPr>
          <w:rFonts w:ascii="Times New Roman" w:hAnsi="Times New Roman"/>
          <w:sz w:val="20"/>
          <w:lang w:eastAsia="pt-BR"/>
        </w:rPr>
        <w:t>.</w:t>
      </w: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</w:p>
    <w:p w:rsidR="00FD597B" w:rsidRPr="0074391C" w:rsidRDefault="009E1066" w:rsidP="00D55572">
      <w:pPr>
        <w:spacing w:line="360" w:lineRule="auto"/>
        <w:ind w:left="3119" w:right="-1"/>
        <w:rPr>
          <w:i/>
          <w:color w:val="000000"/>
          <w:szCs w:val="20"/>
        </w:rPr>
      </w:pPr>
      <w:r w:rsidRPr="0074391C">
        <w:rPr>
          <w:i/>
          <w:color w:val="000000"/>
          <w:szCs w:val="20"/>
        </w:rPr>
        <w:t>Art.68- A responsabilidade por infrações é excluída pela denúncia espontânea da infração pelo sujeito passivo, antes de qualquer procedimento fiscal, desde que seja pago o tributo devido, com seu valor atualizado monetariamente e os acréscimos moratórios.</w:t>
      </w:r>
    </w:p>
    <w:p w:rsidR="009E1066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 xml:space="preserve">Em paralelo, o contribuinte deverá sanar os erros ocorridos e efetuar o pagamento do imposto, se for o caso, com os devidos acréscimos legais, comprovando-o de maneira inequívoca. Após isto, o contribuinte deverá comprovar a regular escrituração. Isto é, considerando não haver vedação na legislação em vigor, e considerando que a consulente visa sanar as incorreções apresentadas na presente consulta, a consulente deverá emitir a correta Nota Fiscal Eletrônica de entrada com data presente, fazendo referência às Declarações de Importações e aos números dos </w:t>
      </w:r>
      <w:proofErr w:type="spellStart"/>
      <w:r w:rsidRPr="0074391C">
        <w:rPr>
          <w:rFonts w:ascii="Times New Roman" w:hAnsi="Times New Roman"/>
          <w:sz w:val="20"/>
          <w:lang w:eastAsia="pt-BR"/>
        </w:rPr>
        <w:t>DARJs</w:t>
      </w:r>
      <w:proofErr w:type="spellEnd"/>
      <w:r w:rsidRPr="0074391C">
        <w:rPr>
          <w:rFonts w:ascii="Times New Roman" w:hAnsi="Times New Roman"/>
          <w:sz w:val="20"/>
          <w:lang w:eastAsia="pt-BR"/>
        </w:rPr>
        <w:t xml:space="preserve"> referentes ao ICMS pago sobre a importação em questão, além de escriturar, devidamente, no Livro Registro de Entrada. Ademais, a repartição fiscal deverá, nos termos que considerar mais adequados, verificar a veracidade das informações apresentadas, para que, se for o caso, o contribuinte possa aproveitar extemporaneamente os créditos. No intuito de complementar a fundamentação exarada, ressaltamos que o campo “informações complementares” da NF-e pode ser composto por dados adicionais de interesse do emitente, tais como o número do pedido, vendedor, emissor da nota fiscal, local de entrega, quando diverso do endereço do destinatário nas hipóteses previstas na legislação, propaganda, etc.. Observe, ainda, o que dispõe o §10 da Cláusula nona do Ajuste </w:t>
      </w:r>
      <w:proofErr w:type="spellStart"/>
      <w:r w:rsidRPr="0074391C">
        <w:rPr>
          <w:rFonts w:ascii="Times New Roman" w:hAnsi="Times New Roman"/>
          <w:sz w:val="20"/>
          <w:lang w:eastAsia="pt-BR"/>
        </w:rPr>
        <w:t>Sinief</w:t>
      </w:r>
      <w:proofErr w:type="spellEnd"/>
      <w:r w:rsidRPr="0074391C">
        <w:rPr>
          <w:rFonts w:ascii="Times New Roman" w:hAnsi="Times New Roman"/>
          <w:sz w:val="20"/>
          <w:lang w:eastAsia="pt-BR"/>
        </w:rPr>
        <w:t xml:space="preserve"> nº 7/2005, que institui a Nota Fiscal Eletrônica e o Documento Auxiliar da Nota Fiscal Eletrônica:</w:t>
      </w:r>
    </w:p>
    <w:p w:rsidR="009E1066" w:rsidRPr="0074391C" w:rsidRDefault="009E1066" w:rsidP="00D55572">
      <w:pPr>
        <w:spacing w:line="360" w:lineRule="auto"/>
        <w:ind w:left="3119" w:right="-1"/>
        <w:rPr>
          <w:i/>
          <w:color w:val="000000"/>
          <w:szCs w:val="20"/>
        </w:rPr>
      </w:pPr>
    </w:p>
    <w:p w:rsidR="009E1066" w:rsidRPr="0074391C" w:rsidRDefault="009E1066" w:rsidP="00D55572">
      <w:pPr>
        <w:spacing w:line="360" w:lineRule="auto"/>
        <w:ind w:left="3119" w:right="-1"/>
        <w:rPr>
          <w:i/>
          <w:color w:val="000000"/>
          <w:szCs w:val="20"/>
        </w:rPr>
      </w:pPr>
      <w:r w:rsidRPr="0074391C">
        <w:rPr>
          <w:i/>
          <w:color w:val="000000"/>
          <w:szCs w:val="20"/>
        </w:rPr>
        <w:t xml:space="preserve">§10- É permitida a indicação de informações complementares de interesse do emitente, impressas no verso do DANFE, hipótese em que sempre será reservado espaço, com a dimensão mínima de </w:t>
      </w:r>
      <w:r w:rsidRPr="0074391C">
        <w:rPr>
          <w:i/>
          <w:color w:val="000000"/>
          <w:szCs w:val="20"/>
        </w:rPr>
        <w:lastRenderedPageBreak/>
        <w:t>10x15 cm, em qualquer sentido, para atendimento ao disposto no § 9º.</w:t>
      </w:r>
    </w:p>
    <w:p w:rsidR="00CB5532" w:rsidRPr="0074391C" w:rsidRDefault="00CB5532" w:rsidP="00D55572">
      <w:pPr>
        <w:spacing w:line="360" w:lineRule="auto"/>
        <w:ind w:left="3402" w:right="-1" w:hanging="1842"/>
        <w:rPr>
          <w:i/>
          <w:color w:val="000000"/>
          <w:szCs w:val="20"/>
        </w:rPr>
      </w:pPr>
    </w:p>
    <w:p w:rsidR="00CB5532" w:rsidRPr="0074391C" w:rsidRDefault="009E1066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>Em seguida, considerando o disposto no § 4º do artigo 30 do Livro I do RICMS-RJ/00, a utilização de eventual crédito extemporâneo, se for o caso, e a partir das verificações cabíveis, deverá observar a Resolução SEF n.º 6.346/2001.</w:t>
      </w:r>
    </w:p>
    <w:p w:rsidR="00891E5B" w:rsidRPr="0074391C" w:rsidRDefault="00CB5532" w:rsidP="00D55572">
      <w:pPr>
        <w:pStyle w:val="Recuodecorpodetexto"/>
        <w:ind w:left="1560" w:right="-1"/>
        <w:rPr>
          <w:rFonts w:ascii="Times New Roman" w:hAnsi="Times New Roman"/>
          <w:sz w:val="20"/>
          <w:lang w:eastAsia="pt-BR"/>
        </w:rPr>
      </w:pPr>
      <w:r w:rsidRPr="0074391C">
        <w:rPr>
          <w:rFonts w:ascii="Times New Roman" w:hAnsi="Times New Roman"/>
          <w:sz w:val="20"/>
          <w:lang w:eastAsia="pt-BR"/>
        </w:rPr>
        <w:t>[</w:t>
      </w:r>
      <w:proofErr w:type="gramStart"/>
      <w:r w:rsidRPr="0074391C">
        <w:rPr>
          <w:rFonts w:ascii="Times New Roman" w:hAnsi="Times New Roman"/>
          <w:sz w:val="20"/>
          <w:lang w:eastAsia="pt-BR"/>
        </w:rPr>
        <w:t>...]”</w:t>
      </w:r>
      <w:proofErr w:type="gramEnd"/>
    </w:p>
    <w:p w:rsidR="00CC7A2F" w:rsidRPr="0074391C" w:rsidRDefault="00CC7A2F" w:rsidP="00FD597B">
      <w:pPr>
        <w:pStyle w:val="Recuodecorpodetexto"/>
        <w:ind w:firstLine="0"/>
        <w:rPr>
          <w:rFonts w:ascii="Times New Roman" w:hAnsi="Times New Roman"/>
          <w:sz w:val="20"/>
          <w:lang w:eastAsia="pt-BR"/>
        </w:rPr>
      </w:pPr>
    </w:p>
    <w:p w:rsidR="00891E5B" w:rsidRDefault="00891E5B" w:rsidP="00891E5B">
      <w:pPr>
        <w:spacing w:before="240"/>
        <w:ind w:firstLine="708"/>
        <w:rPr>
          <w:sz w:val="24"/>
        </w:rPr>
      </w:pPr>
      <w:r>
        <w:rPr>
          <w:sz w:val="24"/>
        </w:rPr>
        <w:t xml:space="preserve">Assim, tomando com base, no que couber, a resposta à Consulta formulada no mencionado Processo n.º </w:t>
      </w:r>
      <w:r w:rsidRPr="00A9152B">
        <w:rPr>
          <w:sz w:val="24"/>
        </w:rPr>
        <w:t>E-04/020/423//2015</w:t>
      </w:r>
      <w:r w:rsidR="00FD597B">
        <w:rPr>
          <w:sz w:val="24"/>
        </w:rPr>
        <w:t>, quanto ao questionamento a</w:t>
      </w:r>
      <w:r w:rsidR="00A47059">
        <w:rPr>
          <w:sz w:val="24"/>
        </w:rPr>
        <w:t>presenta</w:t>
      </w:r>
      <w:r w:rsidR="00971525">
        <w:rPr>
          <w:sz w:val="24"/>
        </w:rPr>
        <w:t xml:space="preserve">do no presente </w:t>
      </w:r>
      <w:r w:rsidR="00A47059">
        <w:rPr>
          <w:sz w:val="24"/>
        </w:rPr>
        <w:t>processo,</w:t>
      </w:r>
      <w:r w:rsidR="00CC7A2F">
        <w:rPr>
          <w:sz w:val="24"/>
        </w:rPr>
        <w:t xml:space="preserve"> </w:t>
      </w:r>
      <w:r w:rsidR="00A47059">
        <w:rPr>
          <w:sz w:val="24"/>
        </w:rPr>
        <w:t>escl</w:t>
      </w:r>
      <w:r w:rsidR="00502719">
        <w:rPr>
          <w:sz w:val="24"/>
        </w:rPr>
        <w:t>a</w:t>
      </w:r>
      <w:r w:rsidR="00A47059">
        <w:rPr>
          <w:sz w:val="24"/>
        </w:rPr>
        <w:t>recemos o que segue:</w:t>
      </w:r>
      <w:r w:rsidR="00502719">
        <w:rPr>
          <w:sz w:val="24"/>
        </w:rPr>
        <w:t xml:space="preserve"> </w:t>
      </w:r>
    </w:p>
    <w:p w:rsidR="00A47059" w:rsidRDefault="00A47059" w:rsidP="00891E5B">
      <w:pPr>
        <w:spacing w:before="240"/>
        <w:ind w:firstLine="708"/>
        <w:rPr>
          <w:sz w:val="24"/>
        </w:rPr>
      </w:pPr>
      <w:r>
        <w:rPr>
          <w:sz w:val="24"/>
        </w:rPr>
        <w:t>O regime aduaneiro de admissão temporária está regulamentado no artigo 13</w:t>
      </w:r>
      <w:r w:rsidR="006374A4">
        <w:rPr>
          <w:sz w:val="24"/>
        </w:rPr>
        <w:t xml:space="preserve"> do Livro XI do RICM-RJ/00, aprovado pelo Decreto 27.427/00, </w:t>
      </w:r>
      <w:r>
        <w:rPr>
          <w:sz w:val="24"/>
        </w:rPr>
        <w:t>conforme transcrito:</w:t>
      </w:r>
    </w:p>
    <w:p w:rsidR="00CC7A2F" w:rsidRDefault="00CC7A2F" w:rsidP="00891E5B">
      <w:pPr>
        <w:spacing w:before="240"/>
        <w:ind w:firstLine="708"/>
        <w:rPr>
          <w:sz w:val="24"/>
        </w:rPr>
      </w:pP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Art. 13. No caso de mercadoria importada do exterior sob o regime especial aduaneiro de admissão temporária, o imposto será devido se: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I - houver cobrança proporcional pela União, dos impostos federais;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 xml:space="preserve">II - a mercadoria permanecer no território nacional </w:t>
      </w:r>
      <w:proofErr w:type="gramStart"/>
      <w:r w:rsidRPr="00A47059">
        <w:rPr>
          <w:i/>
          <w:color w:val="000000"/>
          <w:sz w:val="24"/>
        </w:rPr>
        <w:t>após</w:t>
      </w:r>
      <w:proofErr w:type="gramEnd"/>
      <w:r w:rsidRPr="00A47059">
        <w:rPr>
          <w:i/>
          <w:color w:val="000000"/>
          <w:sz w:val="24"/>
        </w:rPr>
        <w:t xml:space="preserve"> expirado o prazo da admissão temporária;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III - a mercadoria for alienada antes de expirado o prazo da admissão temporária.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§ 1.º Na hipótese do inciso I, a base de cálculo do ICMS será reduzida do mesmo percentual utilizado pela Receita Federal para o cálculo dos seus impostos.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§ 2.º Ocorrendo inadimplemento das condições do regime especial de que trata o caput, o ICMS tornar-se-á exigível desde a data da entrada em território nacional, com os acréscimos previstos em lei.</w:t>
      </w:r>
    </w:p>
    <w:p w:rsidR="00A47059" w:rsidRPr="00A47059" w:rsidRDefault="00A47059" w:rsidP="00A47059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 xml:space="preserve">§ 3.º Por ocasião da aposição do "visto" a que se refere o inciso I, do artigo 3.º, o importador deve apresentar o "Termo de Responsabilidade" (TR) devidamente </w:t>
      </w:r>
      <w:r w:rsidRPr="00A47059">
        <w:rPr>
          <w:i/>
          <w:color w:val="000000"/>
          <w:sz w:val="24"/>
        </w:rPr>
        <w:lastRenderedPageBreak/>
        <w:t>visado pelo fisco federal.</w:t>
      </w:r>
    </w:p>
    <w:p w:rsidR="00A47059" w:rsidRPr="00A47059" w:rsidRDefault="00A47059" w:rsidP="00CC7A2F">
      <w:pPr>
        <w:spacing w:line="360" w:lineRule="auto"/>
        <w:ind w:left="3119"/>
        <w:rPr>
          <w:i/>
          <w:color w:val="000000"/>
          <w:sz w:val="24"/>
        </w:rPr>
      </w:pPr>
      <w:r w:rsidRPr="00A47059">
        <w:rPr>
          <w:i/>
          <w:color w:val="000000"/>
          <w:sz w:val="24"/>
        </w:rPr>
        <w:t>§ 4.º A redução prevista no § 1.º somente se aplica aos casos em que a importação se realizar pelos portos ou aeroportos do Estado do Rio de Janeiro.</w:t>
      </w:r>
    </w:p>
    <w:p w:rsidR="006374A4" w:rsidRDefault="00A47059" w:rsidP="006374A4">
      <w:pPr>
        <w:spacing w:before="240"/>
        <w:ind w:firstLine="708"/>
        <w:rPr>
          <w:sz w:val="24"/>
        </w:rPr>
      </w:pPr>
      <w:r>
        <w:rPr>
          <w:sz w:val="24"/>
        </w:rPr>
        <w:t xml:space="preserve">Por outro lado, </w:t>
      </w:r>
      <w:r w:rsidR="00FD597B">
        <w:rPr>
          <w:sz w:val="24"/>
        </w:rPr>
        <w:t xml:space="preserve">conforme já destacado nas respostas da consulta de que trata o Processo n.º </w:t>
      </w:r>
      <w:r w:rsidR="00FD597B" w:rsidRPr="00A9152B">
        <w:rPr>
          <w:sz w:val="24"/>
        </w:rPr>
        <w:t>E-04/020/423//2015</w:t>
      </w:r>
      <w:r w:rsidR="00FD597B">
        <w:rPr>
          <w:sz w:val="24"/>
        </w:rPr>
        <w:t xml:space="preserve">, </w:t>
      </w:r>
      <w:r>
        <w:rPr>
          <w:sz w:val="24"/>
        </w:rPr>
        <w:t>não</w:t>
      </w:r>
      <w:r w:rsidR="00891E5B">
        <w:rPr>
          <w:sz w:val="24"/>
        </w:rPr>
        <w:t xml:space="preserve"> há previsão na legislação tributária fluminense que autorize </w:t>
      </w:r>
      <w:r w:rsidR="00891E5B" w:rsidRPr="00891E5B">
        <w:rPr>
          <w:sz w:val="24"/>
        </w:rPr>
        <w:t xml:space="preserve">a emissão de nota fiscal com data retroativa, assim como não existe permissão para escrituração fiscal em atraso por mais de </w:t>
      </w:r>
      <w:proofErr w:type="gramStart"/>
      <w:r w:rsidR="00891E5B" w:rsidRPr="00891E5B">
        <w:rPr>
          <w:sz w:val="24"/>
        </w:rPr>
        <w:t>5</w:t>
      </w:r>
      <w:proofErr w:type="gramEnd"/>
      <w:r w:rsidR="00891E5B" w:rsidRPr="00891E5B">
        <w:rPr>
          <w:sz w:val="24"/>
        </w:rPr>
        <w:t xml:space="preserve"> (cinco) dias, nos termos do artigo 65 do Convênio s/nº 70. </w:t>
      </w:r>
    </w:p>
    <w:p w:rsidR="00891E5B" w:rsidRDefault="00891E5B" w:rsidP="006374A4">
      <w:pPr>
        <w:spacing w:before="240"/>
        <w:ind w:firstLine="708"/>
        <w:rPr>
          <w:sz w:val="24"/>
        </w:rPr>
      </w:pPr>
      <w:r w:rsidRPr="00891E5B">
        <w:rPr>
          <w:sz w:val="24"/>
        </w:rPr>
        <w:t>Por conseguinte</w:t>
      </w:r>
      <w:r w:rsidR="00971525">
        <w:rPr>
          <w:sz w:val="24"/>
        </w:rPr>
        <w:t xml:space="preserve">, a consulente </w:t>
      </w:r>
      <w:r w:rsidRPr="00891E5B">
        <w:rPr>
          <w:sz w:val="24"/>
        </w:rPr>
        <w:t>deve apresentar denúncia espontânea</w:t>
      </w:r>
      <w:r w:rsidR="00D55572">
        <w:rPr>
          <w:sz w:val="24"/>
        </w:rPr>
        <w:t>, se cabível,</w:t>
      </w:r>
      <w:r w:rsidRPr="00891E5B">
        <w:rPr>
          <w:sz w:val="24"/>
        </w:rPr>
        <w:t xml:space="preserve"> na repartição fiscal de sua vinculação, nos termos do artigo 68 da Lei nº 2.657/1996, sanando</w:t>
      </w:r>
      <w:r w:rsidR="006374A4">
        <w:rPr>
          <w:sz w:val="24"/>
        </w:rPr>
        <w:t xml:space="preserve"> os erros. Deve ainda, caso se enquadre em uma das hipóteses elencadas </w:t>
      </w:r>
      <w:r w:rsidR="00D55572">
        <w:rPr>
          <w:sz w:val="24"/>
        </w:rPr>
        <w:t xml:space="preserve">no </w:t>
      </w:r>
      <w:r w:rsidR="006374A4">
        <w:rPr>
          <w:sz w:val="24"/>
        </w:rPr>
        <w:t xml:space="preserve">mencionado artigo 13 do Livro XI, transcrito anteriormente, </w:t>
      </w:r>
      <w:r w:rsidRPr="00891E5B">
        <w:rPr>
          <w:sz w:val="24"/>
        </w:rPr>
        <w:t>efetua</w:t>
      </w:r>
      <w:r w:rsidR="006374A4">
        <w:rPr>
          <w:sz w:val="24"/>
        </w:rPr>
        <w:t>r</w:t>
      </w:r>
      <w:r w:rsidRPr="00891E5B">
        <w:rPr>
          <w:sz w:val="24"/>
        </w:rPr>
        <w:t xml:space="preserve"> o pagamento do imposto com os devidos acréscimos legais, comprovando-o de maneira inequívoca, além de apresentar a regularização de sua escrituração.</w:t>
      </w:r>
    </w:p>
    <w:p w:rsidR="00891E5B" w:rsidRDefault="00891E5B" w:rsidP="00891E5B">
      <w:pPr>
        <w:spacing w:before="240"/>
        <w:ind w:firstLine="708"/>
        <w:rPr>
          <w:sz w:val="24"/>
        </w:rPr>
      </w:pPr>
      <w:r w:rsidRPr="00891E5B">
        <w:rPr>
          <w:sz w:val="24"/>
        </w:rPr>
        <w:t xml:space="preserve">No intuito de sanar as incorreções apresentadas nesta consulta, o estabelecimento consulente poderá </w:t>
      </w:r>
      <w:r w:rsidRPr="00D55572">
        <w:rPr>
          <w:b/>
          <w:sz w:val="24"/>
        </w:rPr>
        <w:t>emitir a</w:t>
      </w:r>
      <w:r w:rsidRPr="00891E5B">
        <w:rPr>
          <w:sz w:val="24"/>
        </w:rPr>
        <w:t xml:space="preserve"> </w:t>
      </w:r>
      <w:r w:rsidRPr="00D55572">
        <w:rPr>
          <w:b/>
          <w:sz w:val="24"/>
        </w:rPr>
        <w:t>correta Nota Fiscal Eletrônica</w:t>
      </w:r>
      <w:r w:rsidR="00CC7A2F" w:rsidRPr="00D55572">
        <w:rPr>
          <w:b/>
          <w:sz w:val="24"/>
        </w:rPr>
        <w:t xml:space="preserve"> (NF-e)</w:t>
      </w:r>
      <w:r w:rsidRPr="00D55572">
        <w:rPr>
          <w:b/>
          <w:sz w:val="24"/>
        </w:rPr>
        <w:t xml:space="preserve"> de entrada com data presente, fazendo referência às Declarações de Importações</w:t>
      </w:r>
      <w:r w:rsidR="00D55572" w:rsidRPr="00D55572">
        <w:rPr>
          <w:b/>
          <w:sz w:val="24"/>
        </w:rPr>
        <w:t xml:space="preserve"> (DI)</w:t>
      </w:r>
      <w:r w:rsidR="00D55572">
        <w:rPr>
          <w:sz w:val="24"/>
        </w:rPr>
        <w:t xml:space="preserve"> </w:t>
      </w:r>
      <w:r w:rsidRPr="00891E5B">
        <w:rPr>
          <w:sz w:val="24"/>
        </w:rPr>
        <w:t>e</w:t>
      </w:r>
      <w:r w:rsidR="00CC7A2F">
        <w:rPr>
          <w:sz w:val="24"/>
        </w:rPr>
        <w:t xml:space="preserve">, </w:t>
      </w:r>
      <w:r w:rsidR="00D55572">
        <w:rPr>
          <w:sz w:val="24"/>
        </w:rPr>
        <w:t>se for o caso,</w:t>
      </w:r>
      <w:r w:rsidR="00CC7A2F">
        <w:rPr>
          <w:sz w:val="24"/>
        </w:rPr>
        <w:t xml:space="preserve"> </w:t>
      </w:r>
      <w:r w:rsidRPr="00891E5B">
        <w:rPr>
          <w:sz w:val="24"/>
        </w:rPr>
        <w:t xml:space="preserve">aos números dos </w:t>
      </w:r>
      <w:proofErr w:type="spellStart"/>
      <w:r w:rsidRPr="00891E5B">
        <w:rPr>
          <w:sz w:val="24"/>
        </w:rPr>
        <w:t>DARJs</w:t>
      </w:r>
      <w:proofErr w:type="spellEnd"/>
      <w:r w:rsidRPr="00891E5B">
        <w:rPr>
          <w:sz w:val="24"/>
        </w:rPr>
        <w:t xml:space="preserve"> referentes ao ICMS pago sobre a importação em questão,</w:t>
      </w:r>
      <w:r w:rsidR="00D55572">
        <w:rPr>
          <w:sz w:val="24"/>
        </w:rPr>
        <w:t xml:space="preserve"> </w:t>
      </w:r>
      <w:r w:rsidRPr="00891E5B">
        <w:rPr>
          <w:sz w:val="24"/>
        </w:rPr>
        <w:t xml:space="preserve">além de escriturar, devidamente, no Livro Registro de Entrada. </w:t>
      </w:r>
    </w:p>
    <w:p w:rsidR="004319CA" w:rsidRPr="00A669C9" w:rsidRDefault="006374A4" w:rsidP="00A669C9">
      <w:pPr>
        <w:spacing w:before="240"/>
        <w:ind w:firstLine="708"/>
        <w:rPr>
          <w:sz w:val="24"/>
        </w:rPr>
      </w:pPr>
      <w:r>
        <w:rPr>
          <w:sz w:val="24"/>
        </w:rPr>
        <w:t>De forma análoga</w:t>
      </w:r>
      <w:r w:rsidR="00CC7A2F">
        <w:rPr>
          <w:sz w:val="24"/>
        </w:rPr>
        <w:t xml:space="preserve">, a consulente deve </w:t>
      </w:r>
      <w:r w:rsidR="00CC7A2F" w:rsidRPr="00D55572">
        <w:rPr>
          <w:b/>
          <w:sz w:val="24"/>
        </w:rPr>
        <w:t>emitir NF-e de saída com data presente fazendo referência à Declaração de Exportação (DE)</w:t>
      </w:r>
      <w:r w:rsidR="00CC7A2F">
        <w:rPr>
          <w:sz w:val="24"/>
        </w:rPr>
        <w:t xml:space="preserve"> correspondente e escritura</w:t>
      </w:r>
      <w:r w:rsidR="00971525">
        <w:rPr>
          <w:sz w:val="24"/>
        </w:rPr>
        <w:t>r</w:t>
      </w:r>
      <w:r w:rsidR="00CC7A2F">
        <w:rPr>
          <w:sz w:val="24"/>
        </w:rPr>
        <w:t xml:space="preserve"> o Livro Registro de Saída.</w:t>
      </w:r>
    </w:p>
    <w:p w:rsidR="00D55572" w:rsidRDefault="005039CE" w:rsidP="003B3CED">
      <w:pPr>
        <w:spacing w:before="240"/>
        <w:ind w:firstLine="708"/>
        <w:rPr>
          <w:sz w:val="24"/>
        </w:rPr>
      </w:pPr>
      <w:r w:rsidRPr="00CC7A2F">
        <w:rPr>
          <w:sz w:val="24"/>
        </w:rPr>
        <w:t>Informamos, ainda, que a orientação normativa proferida em processo de consulta emanada da Superintendência de Tributação, no exercício da competência atribuída pelo inciso I do artigo 83 da Resolução SEFAZ n.º 45/07, é extensiva a todos os estabelecimentos do contribuinte em idêntica situação.  Porém, os efeitos da consulta previstos nos artigos 162 e 163 do regulamento do Processo Administrativo-Tributário - Decreto nº 2473/79, somente se aplicam ao estabelecimento que formalizou a consulta.</w:t>
      </w:r>
    </w:p>
    <w:p w:rsidR="005039CE" w:rsidRPr="00A669C9" w:rsidRDefault="005039CE" w:rsidP="00A669C9">
      <w:pPr>
        <w:spacing w:before="240"/>
        <w:ind w:firstLine="708"/>
        <w:rPr>
          <w:sz w:val="24"/>
        </w:rPr>
      </w:pPr>
      <w:r w:rsidRPr="00CC7A2F">
        <w:rPr>
          <w:sz w:val="24"/>
        </w:rPr>
        <w:t>Por fim, fique a consulente ciente de que esta consulta perderá automaticamente a sua eficácia normativa em caso de mudança de entendimento por parte da Administração Tributária</w:t>
      </w:r>
      <w:proofErr w:type="gramStart"/>
      <w:r w:rsidRPr="00CC7A2F">
        <w:rPr>
          <w:sz w:val="24"/>
        </w:rPr>
        <w:t xml:space="preserve"> ou seja</w:t>
      </w:r>
      <w:proofErr w:type="gramEnd"/>
      <w:r w:rsidRPr="00CC7A2F">
        <w:rPr>
          <w:sz w:val="24"/>
        </w:rPr>
        <w:t xml:space="preserve"> editada norma superveniente dispondo de forma contrária.</w:t>
      </w:r>
    </w:p>
    <w:p w:rsidR="005039CE" w:rsidRPr="00A669C9" w:rsidRDefault="005039CE" w:rsidP="00A669C9">
      <w:pPr>
        <w:pStyle w:val="Recuodecorpodetexto"/>
        <w:tabs>
          <w:tab w:val="left" w:pos="708"/>
          <w:tab w:val="left" w:pos="1560"/>
        </w:tabs>
        <w:ind w:firstLine="0"/>
        <w:rPr>
          <w:rFonts w:ascii="Times New Roman" w:hAnsi="Times New Roman"/>
          <w:sz w:val="24"/>
          <w:szCs w:val="24"/>
          <w:lang w:eastAsia="pt-BR"/>
        </w:rPr>
      </w:pPr>
      <w:r w:rsidRPr="00A669C9">
        <w:rPr>
          <w:rFonts w:ascii="Times New Roman" w:hAnsi="Times New Roman"/>
          <w:sz w:val="24"/>
          <w:szCs w:val="24"/>
          <w:lang w:eastAsia="pt-BR"/>
        </w:rPr>
        <w:tab/>
      </w:r>
      <w:r w:rsidR="00A669C9">
        <w:rPr>
          <w:rFonts w:ascii="Times New Roman" w:hAnsi="Times New Roman"/>
          <w:sz w:val="24"/>
          <w:szCs w:val="24"/>
          <w:lang w:eastAsia="pt-BR"/>
        </w:rPr>
        <w:tab/>
      </w:r>
    </w:p>
    <w:p w:rsidR="005039CE" w:rsidRPr="00CC7A2F" w:rsidRDefault="005039CE" w:rsidP="00CC7A2F">
      <w:pPr>
        <w:spacing w:before="240"/>
        <w:ind w:firstLine="708"/>
        <w:rPr>
          <w:sz w:val="24"/>
        </w:rPr>
      </w:pPr>
      <w:r w:rsidRPr="00CC7A2F">
        <w:rPr>
          <w:b/>
          <w:sz w:val="24"/>
        </w:rPr>
        <w:t xml:space="preserve">CCJT, em </w:t>
      </w:r>
      <w:r w:rsidR="00CC7A2F">
        <w:rPr>
          <w:b/>
          <w:sz w:val="24"/>
        </w:rPr>
        <w:t>16</w:t>
      </w:r>
      <w:r w:rsidRPr="00CC7A2F">
        <w:rPr>
          <w:b/>
          <w:sz w:val="24"/>
        </w:rPr>
        <w:t xml:space="preserve"> de </w:t>
      </w:r>
      <w:r w:rsidR="00CC7A2F">
        <w:rPr>
          <w:b/>
          <w:sz w:val="24"/>
        </w:rPr>
        <w:t>fevereiro 2016</w:t>
      </w:r>
      <w:r w:rsidRPr="00CC7A2F">
        <w:rPr>
          <w:sz w:val="24"/>
        </w:rPr>
        <w:t>.</w:t>
      </w:r>
    </w:p>
    <w:p w:rsidR="005039CE" w:rsidRPr="00F974DC" w:rsidRDefault="005039CE" w:rsidP="00911FC2">
      <w:pPr>
        <w:tabs>
          <w:tab w:val="left" w:pos="5595"/>
        </w:tabs>
        <w:spacing w:before="240"/>
        <w:ind w:firstLine="708"/>
        <w:rPr>
          <w:sz w:val="22"/>
          <w:szCs w:val="22"/>
        </w:rPr>
      </w:pPr>
    </w:p>
    <w:p w:rsidR="00CC7A2F" w:rsidRPr="00C85819" w:rsidRDefault="005039CE" w:rsidP="000C2E7B">
      <w:pPr>
        <w:ind w:right="-671"/>
        <w:jc w:val="center"/>
        <w:rPr>
          <w:sz w:val="24"/>
        </w:rPr>
      </w:pPr>
      <w:r w:rsidRPr="00CC7A2F">
        <w:rPr>
          <w:b/>
          <w:sz w:val="24"/>
        </w:rPr>
        <w:lastRenderedPageBreak/>
        <w:t xml:space="preserve">           </w:t>
      </w:r>
    </w:p>
    <w:p w:rsidR="005039CE" w:rsidRPr="00E83818" w:rsidRDefault="005039CE" w:rsidP="00E83818">
      <w:pPr>
        <w:ind w:right="-671" w:firstLine="450"/>
        <w:rPr>
          <w:rFonts w:ascii="Arial" w:hAnsi="Arial" w:cs="Arial"/>
          <w:sz w:val="22"/>
          <w:szCs w:val="22"/>
          <w:highlight w:val="yellow"/>
        </w:rPr>
      </w:pPr>
    </w:p>
    <w:sectPr w:rsidR="005039CE" w:rsidRPr="00E83818" w:rsidSect="000C2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37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CE" w:rsidRDefault="005039CE" w:rsidP="001B1CDD">
      <w:r>
        <w:separator/>
      </w:r>
    </w:p>
  </w:endnote>
  <w:endnote w:type="continuationSeparator" w:id="0">
    <w:p w:rsidR="005039CE" w:rsidRDefault="005039CE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7B" w:rsidRDefault="000C2E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7B" w:rsidRDefault="000C2E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7B" w:rsidRDefault="000C2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CE" w:rsidRDefault="005039CE" w:rsidP="001B1CDD">
      <w:r>
        <w:separator/>
      </w:r>
    </w:p>
  </w:footnote>
  <w:footnote w:type="continuationSeparator" w:id="0">
    <w:p w:rsidR="005039CE" w:rsidRDefault="005039CE" w:rsidP="001B1CDD">
      <w:r>
        <w:continuationSeparator/>
      </w:r>
    </w:p>
  </w:footnote>
  <w:footnote w:id="1">
    <w:p w:rsidR="00891E5B" w:rsidRPr="007B43FC" w:rsidRDefault="00891E5B" w:rsidP="009E1066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7B" w:rsidRDefault="000C2E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310"/>
      <w:gridCol w:w="2765"/>
    </w:tblGrid>
    <w:tr w:rsidR="005039CE" w:rsidTr="001B1CDD">
      <w:trPr>
        <w:cantSplit/>
        <w:trHeight w:val="1180"/>
      </w:trPr>
      <w:tc>
        <w:tcPr>
          <w:tcW w:w="6307" w:type="dxa"/>
        </w:tcPr>
        <w:p w:rsidR="005039CE" w:rsidRPr="00380063" w:rsidRDefault="00A669C9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580C02BD" wp14:editId="5FD1E0E1">
                <wp:extent cx="914400" cy="885825"/>
                <wp:effectExtent l="0" t="0" r="0" b="9525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39CE" w:rsidRPr="00BB685E" w:rsidRDefault="005039CE" w:rsidP="001B1CDD">
          <w:pPr>
            <w:ind w:left="851"/>
            <w:jc w:val="center"/>
            <w:rPr>
              <w:b/>
              <w:szCs w:val="20"/>
              <w:lang w:eastAsia="en-US"/>
            </w:rPr>
          </w:pPr>
          <w:r w:rsidRPr="00BB685E">
            <w:rPr>
              <w:b/>
              <w:szCs w:val="20"/>
            </w:rPr>
            <w:t>Governo do Estado do Rio de Janeiro</w:t>
          </w:r>
        </w:p>
        <w:p w:rsidR="005039CE" w:rsidRPr="00BB685E" w:rsidRDefault="005039CE" w:rsidP="001B1CDD">
          <w:pPr>
            <w:ind w:left="851"/>
            <w:jc w:val="center"/>
            <w:rPr>
              <w:b/>
              <w:szCs w:val="20"/>
            </w:rPr>
          </w:pPr>
          <w:r w:rsidRPr="00BB685E">
            <w:rPr>
              <w:b/>
              <w:szCs w:val="20"/>
            </w:rPr>
            <w:t>Secretaria de Estado de Fazenda</w:t>
          </w:r>
        </w:p>
        <w:p w:rsidR="005039CE" w:rsidRPr="00BB685E" w:rsidRDefault="005039CE" w:rsidP="001B1CDD">
          <w:pPr>
            <w:ind w:left="851"/>
            <w:jc w:val="center"/>
            <w:rPr>
              <w:b/>
              <w:szCs w:val="20"/>
            </w:rPr>
          </w:pPr>
          <w:r w:rsidRPr="00BB685E">
            <w:rPr>
              <w:b/>
              <w:szCs w:val="20"/>
            </w:rPr>
            <w:t>Superintendência de Tributação</w:t>
          </w:r>
        </w:p>
        <w:p w:rsidR="005039CE" w:rsidRPr="00380063" w:rsidRDefault="005039CE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595"/>
          </w:tblGrid>
          <w:tr w:rsidR="005039CE" w:rsidTr="00F90D8E">
            <w:trPr>
              <w:cantSplit/>
              <w:trHeight w:val="343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039CE" w:rsidRPr="00380063" w:rsidRDefault="005039CE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0063"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5039CE" w:rsidTr="00F90D8E">
            <w:trPr>
              <w:cantSplit/>
              <w:trHeight w:val="344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039CE" w:rsidRDefault="00971525" w:rsidP="007E1C89">
                <w:pPr>
                  <w:rPr>
                    <w:szCs w:val="20"/>
                    <w:lang w:eastAsia="en-US"/>
                  </w:rPr>
                </w:pPr>
                <w:r>
                  <w:rPr>
                    <w:szCs w:val="20"/>
                  </w:rPr>
                  <w:t>Proc. E-04/007/45</w:t>
                </w:r>
                <w:r w:rsidR="00A669C9">
                  <w:rPr>
                    <w:szCs w:val="20"/>
                  </w:rPr>
                  <w:t>65</w:t>
                </w:r>
                <w:r w:rsidR="005039CE">
                  <w:rPr>
                    <w:szCs w:val="20"/>
                  </w:rPr>
                  <w:t>//2015</w:t>
                </w:r>
              </w:p>
            </w:tc>
          </w:tr>
          <w:tr w:rsidR="005039CE" w:rsidTr="00F90D8E">
            <w:trPr>
              <w:cantSplit/>
              <w:trHeight w:val="34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5039CE" w:rsidRDefault="00A669C9" w:rsidP="00862FEE">
                <w:pPr>
                  <w:rPr>
                    <w:szCs w:val="20"/>
                    <w:lang w:eastAsia="en-US"/>
                  </w:rPr>
                </w:pPr>
                <w:r>
                  <w:rPr>
                    <w:szCs w:val="20"/>
                  </w:rPr>
                  <w:t>Data: 13</w:t>
                </w:r>
                <w:r w:rsidR="005039CE">
                  <w:rPr>
                    <w:szCs w:val="20"/>
                  </w:rPr>
                  <w:t xml:space="preserve">/11/2015 – Fls.: </w:t>
                </w:r>
                <w:r w:rsidR="005039CE" w:rsidRPr="00C44496">
                  <w:rPr>
                    <w:szCs w:val="20"/>
                  </w:rPr>
                  <w:fldChar w:fldCharType="begin"/>
                </w:r>
                <w:r w:rsidR="005039CE" w:rsidRPr="00C44496">
                  <w:rPr>
                    <w:szCs w:val="20"/>
                  </w:rPr>
                  <w:instrText>PAGE   \* MERGEFORMAT</w:instrText>
                </w:r>
                <w:r w:rsidR="005039CE" w:rsidRPr="00C44496">
                  <w:rPr>
                    <w:szCs w:val="20"/>
                  </w:rPr>
                  <w:fldChar w:fldCharType="separate"/>
                </w:r>
                <w:r w:rsidR="000C2E7B">
                  <w:rPr>
                    <w:noProof/>
                    <w:szCs w:val="20"/>
                  </w:rPr>
                  <w:t>28</w:t>
                </w:r>
                <w:r w:rsidR="005039CE" w:rsidRPr="00C44496">
                  <w:rPr>
                    <w:szCs w:val="20"/>
                  </w:rPr>
                  <w:fldChar w:fldCharType="end"/>
                </w:r>
              </w:p>
            </w:tc>
          </w:tr>
          <w:tr w:rsidR="005039CE" w:rsidTr="00F90D8E">
            <w:trPr>
              <w:cantSplit/>
              <w:trHeight w:val="344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5039CE" w:rsidRPr="00380063" w:rsidRDefault="005039CE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 w:rsidRPr="00380063"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5039CE" w:rsidRPr="00380063" w:rsidRDefault="005039CE" w:rsidP="000C2E7B">
                <w:pPr>
                  <w:pStyle w:val="Cabealho"/>
                  <w:tabs>
                    <w:tab w:val="center" w:pos="1191"/>
                    <w:tab w:val="right" w:pos="2383"/>
                  </w:tabs>
                  <w:spacing w:line="276" w:lineRule="auto"/>
                  <w:ind w:right="72"/>
                  <w:rPr>
                    <w:rFonts w:ascii="Arial" w:hAnsi="Arial" w:cs="Arial"/>
                    <w:sz w:val="16"/>
                    <w:szCs w:val="16"/>
                  </w:rPr>
                </w:pPr>
                <w:r w:rsidRPr="00380063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bookmarkStart w:id="0" w:name="_GoBack"/>
                <w:bookmarkEnd w:id="0"/>
              </w:p>
            </w:tc>
          </w:tr>
        </w:tbl>
        <w:p w:rsidR="005039CE" w:rsidRPr="00380063" w:rsidRDefault="005039CE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5039CE" w:rsidRDefault="005039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7B" w:rsidRDefault="000C2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16111"/>
    <w:multiLevelType w:val="hybridMultilevel"/>
    <w:tmpl w:val="975A0000"/>
    <w:lvl w:ilvl="0" w:tplc="9D487AEE">
      <w:start w:val="1"/>
      <w:numFmt w:val="lowerLetter"/>
      <w:lvlText w:val="(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FA1F71"/>
    <w:multiLevelType w:val="hybridMultilevel"/>
    <w:tmpl w:val="266E975C"/>
    <w:lvl w:ilvl="0" w:tplc="F2682A2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2AF"/>
    <w:multiLevelType w:val="hybridMultilevel"/>
    <w:tmpl w:val="7BBC5760"/>
    <w:lvl w:ilvl="0" w:tplc="F482A92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B4804"/>
    <w:multiLevelType w:val="hybridMultilevel"/>
    <w:tmpl w:val="2C2E31D4"/>
    <w:lvl w:ilvl="0" w:tplc="E4A8A01E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A203CAE"/>
    <w:multiLevelType w:val="hybridMultilevel"/>
    <w:tmpl w:val="18F86C4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27D1A"/>
    <w:multiLevelType w:val="hybridMultilevel"/>
    <w:tmpl w:val="4A26E690"/>
    <w:lvl w:ilvl="0" w:tplc="8ABE303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5445843"/>
    <w:multiLevelType w:val="hybridMultilevel"/>
    <w:tmpl w:val="CD280A00"/>
    <w:lvl w:ilvl="0" w:tplc="F03828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44C3"/>
    <w:rsid w:val="00006857"/>
    <w:rsid w:val="00044FFB"/>
    <w:rsid w:val="000454C6"/>
    <w:rsid w:val="00060A79"/>
    <w:rsid w:val="00061528"/>
    <w:rsid w:val="00075FA9"/>
    <w:rsid w:val="00080B32"/>
    <w:rsid w:val="00082BB4"/>
    <w:rsid w:val="000B52CB"/>
    <w:rsid w:val="000C03A8"/>
    <w:rsid w:val="000C2E7B"/>
    <w:rsid w:val="000C5004"/>
    <w:rsid w:val="000C5EB9"/>
    <w:rsid w:val="0010008B"/>
    <w:rsid w:val="00100D7E"/>
    <w:rsid w:val="00104C2E"/>
    <w:rsid w:val="001101FA"/>
    <w:rsid w:val="00111186"/>
    <w:rsid w:val="00116AEF"/>
    <w:rsid w:val="001303D3"/>
    <w:rsid w:val="00132A2A"/>
    <w:rsid w:val="001429FA"/>
    <w:rsid w:val="001452C9"/>
    <w:rsid w:val="001538B9"/>
    <w:rsid w:val="001602CA"/>
    <w:rsid w:val="00163486"/>
    <w:rsid w:val="00166A6D"/>
    <w:rsid w:val="0017327E"/>
    <w:rsid w:val="00180EB9"/>
    <w:rsid w:val="00182145"/>
    <w:rsid w:val="001A620E"/>
    <w:rsid w:val="001B1CDD"/>
    <w:rsid w:val="001F7D6D"/>
    <w:rsid w:val="00276991"/>
    <w:rsid w:val="00280AD3"/>
    <w:rsid w:val="00282C67"/>
    <w:rsid w:val="00291E07"/>
    <w:rsid w:val="00293169"/>
    <w:rsid w:val="002B2DB5"/>
    <w:rsid w:val="002B30D4"/>
    <w:rsid w:val="002D40D9"/>
    <w:rsid w:val="002D5995"/>
    <w:rsid w:val="002E5E44"/>
    <w:rsid w:val="002E7F37"/>
    <w:rsid w:val="003013F4"/>
    <w:rsid w:val="003022F8"/>
    <w:rsid w:val="003115E9"/>
    <w:rsid w:val="00324164"/>
    <w:rsid w:val="00332EFD"/>
    <w:rsid w:val="00340BC3"/>
    <w:rsid w:val="00344EF1"/>
    <w:rsid w:val="00361FAB"/>
    <w:rsid w:val="00380063"/>
    <w:rsid w:val="00385037"/>
    <w:rsid w:val="00385E52"/>
    <w:rsid w:val="003970C5"/>
    <w:rsid w:val="003B3CED"/>
    <w:rsid w:val="003C679D"/>
    <w:rsid w:val="003D2F3F"/>
    <w:rsid w:val="003E012C"/>
    <w:rsid w:val="003F027E"/>
    <w:rsid w:val="003F6D78"/>
    <w:rsid w:val="00410C30"/>
    <w:rsid w:val="00413D33"/>
    <w:rsid w:val="004319CA"/>
    <w:rsid w:val="00456F95"/>
    <w:rsid w:val="0046456D"/>
    <w:rsid w:val="00466D70"/>
    <w:rsid w:val="0047437A"/>
    <w:rsid w:val="004A2AD0"/>
    <w:rsid w:val="004A4E8A"/>
    <w:rsid w:val="004B40CC"/>
    <w:rsid w:val="004B5DE4"/>
    <w:rsid w:val="004B6CEA"/>
    <w:rsid w:val="004C2764"/>
    <w:rsid w:val="004D6C2E"/>
    <w:rsid w:val="004E2272"/>
    <w:rsid w:val="004E754F"/>
    <w:rsid w:val="004F438E"/>
    <w:rsid w:val="00502719"/>
    <w:rsid w:val="005039CE"/>
    <w:rsid w:val="005111D5"/>
    <w:rsid w:val="005159FE"/>
    <w:rsid w:val="0052360F"/>
    <w:rsid w:val="005333BB"/>
    <w:rsid w:val="00544D17"/>
    <w:rsid w:val="00563EE2"/>
    <w:rsid w:val="005A4BC7"/>
    <w:rsid w:val="005C5DCC"/>
    <w:rsid w:val="005D71E4"/>
    <w:rsid w:val="005F20EA"/>
    <w:rsid w:val="005F5E11"/>
    <w:rsid w:val="005F5EBA"/>
    <w:rsid w:val="005F734C"/>
    <w:rsid w:val="0061786C"/>
    <w:rsid w:val="00625266"/>
    <w:rsid w:val="006374A4"/>
    <w:rsid w:val="00641D7B"/>
    <w:rsid w:val="00674602"/>
    <w:rsid w:val="0069174D"/>
    <w:rsid w:val="006D4196"/>
    <w:rsid w:val="006D7E19"/>
    <w:rsid w:val="00722FC2"/>
    <w:rsid w:val="00734DFB"/>
    <w:rsid w:val="00741979"/>
    <w:rsid w:val="0074391C"/>
    <w:rsid w:val="00757519"/>
    <w:rsid w:val="007759A4"/>
    <w:rsid w:val="00793238"/>
    <w:rsid w:val="00794FEF"/>
    <w:rsid w:val="007965C5"/>
    <w:rsid w:val="007A6A02"/>
    <w:rsid w:val="007B707A"/>
    <w:rsid w:val="007D4191"/>
    <w:rsid w:val="007E01C6"/>
    <w:rsid w:val="007E1C89"/>
    <w:rsid w:val="007E4D85"/>
    <w:rsid w:val="007F4C24"/>
    <w:rsid w:val="007F5020"/>
    <w:rsid w:val="008030C9"/>
    <w:rsid w:val="0081157A"/>
    <w:rsid w:val="00814875"/>
    <w:rsid w:val="0082473D"/>
    <w:rsid w:val="0083369D"/>
    <w:rsid w:val="008410B7"/>
    <w:rsid w:val="008447B0"/>
    <w:rsid w:val="00844C78"/>
    <w:rsid w:val="008523D8"/>
    <w:rsid w:val="008537BB"/>
    <w:rsid w:val="00862FEE"/>
    <w:rsid w:val="0088008B"/>
    <w:rsid w:val="0088054E"/>
    <w:rsid w:val="00891E5B"/>
    <w:rsid w:val="0089352F"/>
    <w:rsid w:val="008B38B8"/>
    <w:rsid w:val="008C31DF"/>
    <w:rsid w:val="008C51A2"/>
    <w:rsid w:val="008D0BF4"/>
    <w:rsid w:val="008E3AB5"/>
    <w:rsid w:val="008E5829"/>
    <w:rsid w:val="00911FC2"/>
    <w:rsid w:val="009226BE"/>
    <w:rsid w:val="00935B37"/>
    <w:rsid w:val="0096103B"/>
    <w:rsid w:val="0096207C"/>
    <w:rsid w:val="00971525"/>
    <w:rsid w:val="009738B3"/>
    <w:rsid w:val="00973FB0"/>
    <w:rsid w:val="00975070"/>
    <w:rsid w:val="009760CA"/>
    <w:rsid w:val="00984A9E"/>
    <w:rsid w:val="00996749"/>
    <w:rsid w:val="00996FD7"/>
    <w:rsid w:val="009A37FB"/>
    <w:rsid w:val="009A4B6E"/>
    <w:rsid w:val="009B29C3"/>
    <w:rsid w:val="009C00CA"/>
    <w:rsid w:val="009C0AC8"/>
    <w:rsid w:val="009C0DF9"/>
    <w:rsid w:val="009C48B2"/>
    <w:rsid w:val="009E1066"/>
    <w:rsid w:val="009E6581"/>
    <w:rsid w:val="009E75AF"/>
    <w:rsid w:val="009F381A"/>
    <w:rsid w:val="00A26ABB"/>
    <w:rsid w:val="00A3733C"/>
    <w:rsid w:val="00A47059"/>
    <w:rsid w:val="00A5161C"/>
    <w:rsid w:val="00A54122"/>
    <w:rsid w:val="00A60D84"/>
    <w:rsid w:val="00A62817"/>
    <w:rsid w:val="00A65E6D"/>
    <w:rsid w:val="00A669C9"/>
    <w:rsid w:val="00A7357D"/>
    <w:rsid w:val="00A8600F"/>
    <w:rsid w:val="00A9152B"/>
    <w:rsid w:val="00A97629"/>
    <w:rsid w:val="00AA585C"/>
    <w:rsid w:val="00AE7885"/>
    <w:rsid w:val="00B122DF"/>
    <w:rsid w:val="00B123E0"/>
    <w:rsid w:val="00B17532"/>
    <w:rsid w:val="00B331CD"/>
    <w:rsid w:val="00B36FF2"/>
    <w:rsid w:val="00B42977"/>
    <w:rsid w:val="00B474E4"/>
    <w:rsid w:val="00B63B76"/>
    <w:rsid w:val="00B65B27"/>
    <w:rsid w:val="00B660D3"/>
    <w:rsid w:val="00B84C22"/>
    <w:rsid w:val="00BA3057"/>
    <w:rsid w:val="00BA3776"/>
    <w:rsid w:val="00BB32DF"/>
    <w:rsid w:val="00BB685E"/>
    <w:rsid w:val="00BD4680"/>
    <w:rsid w:val="00BF5D35"/>
    <w:rsid w:val="00C1069A"/>
    <w:rsid w:val="00C11516"/>
    <w:rsid w:val="00C121D5"/>
    <w:rsid w:val="00C12340"/>
    <w:rsid w:val="00C23AE3"/>
    <w:rsid w:val="00C44496"/>
    <w:rsid w:val="00C60275"/>
    <w:rsid w:val="00C83D08"/>
    <w:rsid w:val="00C83DEE"/>
    <w:rsid w:val="00C871FB"/>
    <w:rsid w:val="00C877E6"/>
    <w:rsid w:val="00C87AE0"/>
    <w:rsid w:val="00C9636C"/>
    <w:rsid w:val="00CB5532"/>
    <w:rsid w:val="00CC2019"/>
    <w:rsid w:val="00CC7A2F"/>
    <w:rsid w:val="00CD67D3"/>
    <w:rsid w:val="00CE422F"/>
    <w:rsid w:val="00CF485F"/>
    <w:rsid w:val="00D00F01"/>
    <w:rsid w:val="00D1254B"/>
    <w:rsid w:val="00D400E7"/>
    <w:rsid w:val="00D42BE6"/>
    <w:rsid w:val="00D46457"/>
    <w:rsid w:val="00D473B8"/>
    <w:rsid w:val="00D51B42"/>
    <w:rsid w:val="00D53D82"/>
    <w:rsid w:val="00D55572"/>
    <w:rsid w:val="00D6017F"/>
    <w:rsid w:val="00D658CD"/>
    <w:rsid w:val="00D7295D"/>
    <w:rsid w:val="00D7403F"/>
    <w:rsid w:val="00D972CA"/>
    <w:rsid w:val="00DA52F8"/>
    <w:rsid w:val="00DC05D9"/>
    <w:rsid w:val="00DC12AA"/>
    <w:rsid w:val="00DD0A01"/>
    <w:rsid w:val="00DD432E"/>
    <w:rsid w:val="00E0243C"/>
    <w:rsid w:val="00E07152"/>
    <w:rsid w:val="00E2018A"/>
    <w:rsid w:val="00E223F2"/>
    <w:rsid w:val="00E301A2"/>
    <w:rsid w:val="00E33509"/>
    <w:rsid w:val="00E33A87"/>
    <w:rsid w:val="00E355FF"/>
    <w:rsid w:val="00E369C5"/>
    <w:rsid w:val="00E516C0"/>
    <w:rsid w:val="00E644BB"/>
    <w:rsid w:val="00E65AE2"/>
    <w:rsid w:val="00E73180"/>
    <w:rsid w:val="00E83818"/>
    <w:rsid w:val="00E90C87"/>
    <w:rsid w:val="00EA6750"/>
    <w:rsid w:val="00EB26C8"/>
    <w:rsid w:val="00EB5206"/>
    <w:rsid w:val="00EC451D"/>
    <w:rsid w:val="00ED24DC"/>
    <w:rsid w:val="00ED5FA5"/>
    <w:rsid w:val="00EE00C3"/>
    <w:rsid w:val="00EE3BD8"/>
    <w:rsid w:val="00EE478A"/>
    <w:rsid w:val="00EF3393"/>
    <w:rsid w:val="00EF5D80"/>
    <w:rsid w:val="00F119FD"/>
    <w:rsid w:val="00F34041"/>
    <w:rsid w:val="00F56E4E"/>
    <w:rsid w:val="00F604A7"/>
    <w:rsid w:val="00F611F8"/>
    <w:rsid w:val="00F61FD8"/>
    <w:rsid w:val="00F814BE"/>
    <w:rsid w:val="00F838F3"/>
    <w:rsid w:val="00F90D8E"/>
    <w:rsid w:val="00F974DC"/>
    <w:rsid w:val="00F97FCE"/>
    <w:rsid w:val="00FC687D"/>
    <w:rsid w:val="00FD597B"/>
    <w:rsid w:val="00FD6A67"/>
    <w:rsid w:val="00FE4910"/>
    <w:rsid w:val="00FE5B3C"/>
    <w:rsid w:val="00FF601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5F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75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722F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5FA9"/>
    <w:rPr>
      <w:rFonts w:ascii="Cambria" w:hAnsi="Cambria"/>
      <w:b/>
      <w:color w:val="365F91"/>
      <w:sz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1CDD"/>
    <w:rPr>
      <w:rFonts w:ascii="Arial" w:hAnsi="Arial"/>
      <w:b/>
      <w:smallCaps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75FA9"/>
    <w:rPr>
      <w:rFonts w:ascii="Cambria" w:hAnsi="Cambria"/>
      <w:b/>
      <w:i/>
      <w:color w:val="4F81BD"/>
      <w:sz w:val="24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22FC2"/>
    <w:rPr>
      <w:rFonts w:ascii="Cambria" w:hAnsi="Cambria"/>
      <w:color w:val="243F60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1CDD"/>
  </w:style>
  <w:style w:type="paragraph" w:styleId="Rodap">
    <w:name w:val="footer"/>
    <w:basedOn w:val="Normal"/>
    <w:link w:val="Rodap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B1CDD"/>
  </w:style>
  <w:style w:type="paragraph" w:styleId="Textodebalo">
    <w:name w:val="Balloon Text"/>
    <w:basedOn w:val="Normal"/>
    <w:link w:val="TextodebaloChar"/>
    <w:uiPriority w:val="99"/>
    <w:semiHidden/>
    <w:rsid w:val="001B1CDD"/>
    <w:pPr>
      <w:widowControl/>
      <w:autoSpaceDE/>
      <w:autoSpaceDN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1CDD"/>
    <w:rPr>
      <w:rFonts w:ascii="Tahoma" w:hAnsi="Tahoma"/>
      <w:sz w:val="16"/>
    </w:rPr>
  </w:style>
  <w:style w:type="paragraph" w:styleId="Recuodecorpodetexto">
    <w:name w:val="Body Text Indent"/>
    <w:basedOn w:val="Normal"/>
    <w:link w:val="RecuodecorpodetextoChar"/>
    <w:uiPriority w:val="99"/>
    <w:rsid w:val="00C83DEE"/>
    <w:pPr>
      <w:widowControl/>
      <w:suppressAutoHyphens/>
      <w:autoSpaceDE/>
      <w:autoSpaceDN/>
      <w:ind w:right="-671" w:firstLine="708"/>
    </w:pPr>
    <w:rPr>
      <w:rFonts w:ascii="Arial" w:hAnsi="Arial"/>
      <w:sz w:val="2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83DEE"/>
    <w:rPr>
      <w:rFonts w:ascii="Arial" w:hAnsi="Arial"/>
      <w:sz w:val="20"/>
      <w:lang w:val="x-none"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E36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369C5"/>
    <w:rPr>
      <w:rFonts w:ascii="Times New Roman" w:hAnsi="Times New Roman"/>
      <w:sz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2B30D4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2B30D4"/>
    <w:pPr>
      <w:widowControl/>
      <w:autoSpaceDE/>
      <w:autoSpaceDN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2B30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2B30D4"/>
    <w:rPr>
      <w:rFonts w:cs="Times New Roman"/>
      <w:vertAlign w:val="superscript"/>
    </w:rPr>
  </w:style>
  <w:style w:type="table" w:styleId="Tabelacomgrade">
    <w:name w:val="Table Grid"/>
    <w:basedOn w:val="Tabelanormal"/>
    <w:uiPriority w:val="99"/>
    <w:rsid w:val="00803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2018A"/>
    <w:rPr>
      <w:rFonts w:cs="Times New Roman"/>
      <w:i/>
    </w:rPr>
  </w:style>
  <w:style w:type="paragraph" w:customStyle="1" w:styleId="Pos">
    <w:name w:val="Pos"/>
    <w:basedOn w:val="Normal"/>
    <w:uiPriority w:val="99"/>
    <w:rsid w:val="00984A9E"/>
    <w:pPr>
      <w:widowControl/>
      <w:autoSpaceDE/>
      <w:autoSpaceDN/>
    </w:pPr>
    <w:rPr>
      <w:rFonts w:ascii="Arial" w:hAnsi="Arial"/>
      <w:b/>
      <w:sz w:val="18"/>
    </w:rPr>
  </w:style>
  <w:style w:type="paragraph" w:customStyle="1" w:styleId="Subpos1">
    <w:name w:val="Subpos1"/>
    <w:basedOn w:val="Normal"/>
    <w:uiPriority w:val="99"/>
    <w:rsid w:val="00984A9E"/>
    <w:pPr>
      <w:widowControl/>
      <w:autoSpaceDE/>
      <w:autoSpaceDN/>
      <w:ind w:left="113" w:hanging="113"/>
    </w:pPr>
    <w:rPr>
      <w:rFonts w:ascii="Arial" w:hAnsi="Arial"/>
      <w:sz w:val="18"/>
    </w:rPr>
  </w:style>
  <w:style w:type="paragraph" w:customStyle="1" w:styleId="Subpos2">
    <w:name w:val="Subpos2"/>
    <w:basedOn w:val="Normal"/>
    <w:uiPriority w:val="99"/>
    <w:rsid w:val="00984A9E"/>
    <w:pPr>
      <w:widowControl/>
      <w:autoSpaceDE/>
      <w:autoSpaceDN/>
      <w:ind w:left="227" w:hanging="22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A4705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rsid w:val="00A4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5F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75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722F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5FA9"/>
    <w:rPr>
      <w:rFonts w:ascii="Cambria" w:hAnsi="Cambria"/>
      <w:b/>
      <w:color w:val="365F91"/>
      <w:sz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1CDD"/>
    <w:rPr>
      <w:rFonts w:ascii="Arial" w:hAnsi="Arial"/>
      <w:b/>
      <w:smallCaps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75FA9"/>
    <w:rPr>
      <w:rFonts w:ascii="Cambria" w:hAnsi="Cambria"/>
      <w:b/>
      <w:i/>
      <w:color w:val="4F81BD"/>
      <w:sz w:val="24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22FC2"/>
    <w:rPr>
      <w:rFonts w:ascii="Cambria" w:hAnsi="Cambria"/>
      <w:color w:val="243F60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1CDD"/>
  </w:style>
  <w:style w:type="paragraph" w:styleId="Rodap">
    <w:name w:val="footer"/>
    <w:basedOn w:val="Normal"/>
    <w:link w:val="Rodap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B1CDD"/>
  </w:style>
  <w:style w:type="paragraph" w:styleId="Textodebalo">
    <w:name w:val="Balloon Text"/>
    <w:basedOn w:val="Normal"/>
    <w:link w:val="TextodebaloChar"/>
    <w:uiPriority w:val="99"/>
    <w:semiHidden/>
    <w:rsid w:val="001B1CDD"/>
    <w:pPr>
      <w:widowControl/>
      <w:autoSpaceDE/>
      <w:autoSpaceDN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1CDD"/>
    <w:rPr>
      <w:rFonts w:ascii="Tahoma" w:hAnsi="Tahoma"/>
      <w:sz w:val="16"/>
    </w:rPr>
  </w:style>
  <w:style w:type="paragraph" w:styleId="Recuodecorpodetexto">
    <w:name w:val="Body Text Indent"/>
    <w:basedOn w:val="Normal"/>
    <w:link w:val="RecuodecorpodetextoChar"/>
    <w:uiPriority w:val="99"/>
    <w:rsid w:val="00C83DEE"/>
    <w:pPr>
      <w:widowControl/>
      <w:suppressAutoHyphens/>
      <w:autoSpaceDE/>
      <w:autoSpaceDN/>
      <w:ind w:right="-671" w:firstLine="708"/>
    </w:pPr>
    <w:rPr>
      <w:rFonts w:ascii="Arial" w:hAnsi="Arial"/>
      <w:sz w:val="2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83DEE"/>
    <w:rPr>
      <w:rFonts w:ascii="Arial" w:hAnsi="Arial"/>
      <w:sz w:val="20"/>
      <w:lang w:val="x-none"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E36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369C5"/>
    <w:rPr>
      <w:rFonts w:ascii="Times New Roman" w:hAnsi="Times New Roman"/>
      <w:sz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2B30D4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2B30D4"/>
    <w:pPr>
      <w:widowControl/>
      <w:autoSpaceDE/>
      <w:autoSpaceDN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2B30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2B30D4"/>
    <w:rPr>
      <w:rFonts w:cs="Times New Roman"/>
      <w:vertAlign w:val="superscript"/>
    </w:rPr>
  </w:style>
  <w:style w:type="table" w:styleId="Tabelacomgrade">
    <w:name w:val="Table Grid"/>
    <w:basedOn w:val="Tabelanormal"/>
    <w:uiPriority w:val="99"/>
    <w:rsid w:val="00803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2018A"/>
    <w:rPr>
      <w:rFonts w:cs="Times New Roman"/>
      <w:i/>
    </w:rPr>
  </w:style>
  <w:style w:type="paragraph" w:customStyle="1" w:styleId="Pos">
    <w:name w:val="Pos"/>
    <w:basedOn w:val="Normal"/>
    <w:uiPriority w:val="99"/>
    <w:rsid w:val="00984A9E"/>
    <w:pPr>
      <w:widowControl/>
      <w:autoSpaceDE/>
      <w:autoSpaceDN/>
    </w:pPr>
    <w:rPr>
      <w:rFonts w:ascii="Arial" w:hAnsi="Arial"/>
      <w:b/>
      <w:sz w:val="18"/>
    </w:rPr>
  </w:style>
  <w:style w:type="paragraph" w:customStyle="1" w:styleId="Subpos1">
    <w:name w:val="Subpos1"/>
    <w:basedOn w:val="Normal"/>
    <w:uiPriority w:val="99"/>
    <w:rsid w:val="00984A9E"/>
    <w:pPr>
      <w:widowControl/>
      <w:autoSpaceDE/>
      <w:autoSpaceDN/>
      <w:ind w:left="113" w:hanging="113"/>
    </w:pPr>
    <w:rPr>
      <w:rFonts w:ascii="Arial" w:hAnsi="Arial"/>
      <w:sz w:val="18"/>
    </w:rPr>
  </w:style>
  <w:style w:type="paragraph" w:customStyle="1" w:styleId="Subpos2">
    <w:name w:val="Subpos2"/>
    <w:basedOn w:val="Normal"/>
    <w:uiPriority w:val="99"/>
    <w:rsid w:val="00984A9E"/>
    <w:pPr>
      <w:widowControl/>
      <w:autoSpaceDE/>
      <w:autoSpaceDN/>
      <w:ind w:left="227" w:hanging="22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A4705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rsid w:val="00A4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054F-069B-4F10-9F15-1633F69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2234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>THEMA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THEMA</dc:creator>
  <cp:lastModifiedBy>Thereza Marina Cunha M. Cunha</cp:lastModifiedBy>
  <cp:revision>3</cp:revision>
  <cp:lastPrinted>2015-12-10T17:52:00Z</cp:lastPrinted>
  <dcterms:created xsi:type="dcterms:W3CDTF">2016-03-04T17:57:00Z</dcterms:created>
  <dcterms:modified xsi:type="dcterms:W3CDTF">2016-03-16T20:15:00Z</dcterms:modified>
</cp:coreProperties>
</file>