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350AA3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C25ED8" w:rsidRDefault="006862AA" w:rsidP="00521992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crédito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integral do ICMS</w:t>
            </w:r>
            <w:r w:rsidR="00521992">
              <w:rPr>
                <w:rFonts w:ascii="Times New Roman" w:hAnsi="Times New Roman"/>
                <w:szCs w:val="22"/>
              </w:rPr>
              <w:t>, quando do pagamento de auto de infração relativo ao ICMS incidente sobre a importação de mercadorias</w:t>
            </w:r>
            <w:r w:rsidR="00CF3D40" w:rsidRPr="00CF3D40">
              <w:rPr>
                <w:rFonts w:ascii="Times New Roman" w:hAnsi="Times New Roman"/>
                <w:szCs w:val="22"/>
              </w:rPr>
              <w:t>.</w:t>
            </w:r>
            <w:r w:rsidR="00521992">
              <w:rPr>
                <w:rFonts w:ascii="Times New Roman" w:hAnsi="Times New Roman"/>
                <w:szCs w:val="22"/>
              </w:rPr>
              <w:t xml:space="preserve"> É assegurado o direito ao crédito, tendo em vista o princípio da não cumulatividade do imposto.</w:t>
            </w:r>
          </w:p>
        </w:tc>
      </w:tr>
      <w:tr w:rsidR="00350AA3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2C092A" w:rsidRDefault="00350AA3" w:rsidP="00DB1E90">
            <w:pPr>
              <w:pStyle w:val="Ttulo2"/>
              <w:ind w:right="72"/>
              <w:jc w:val="right"/>
              <w:rPr>
                <w:rFonts w:ascii="Times New Roman" w:hAnsi="Times New Roman"/>
                <w:sz w:val="8"/>
                <w:szCs w:val="22"/>
              </w:rPr>
            </w:pPr>
          </w:p>
          <w:p w:rsidR="00350AA3" w:rsidRPr="00CD274E" w:rsidRDefault="00350AA3" w:rsidP="00DB1E90">
            <w:pPr>
              <w:pStyle w:val="Ttulo2"/>
              <w:ind w:right="72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  <w:p w:rsidR="00350AA3" w:rsidRPr="006F06F0" w:rsidRDefault="00350AA3" w:rsidP="00DB1E90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</w:t>
            </w:r>
            <w:r w:rsidR="00A266EF">
              <w:rPr>
                <w:rFonts w:ascii="Times New Roman" w:hAnsi="Times New Roman"/>
                <w:szCs w:val="22"/>
              </w:rPr>
              <w:t>005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521992">
              <w:rPr>
                <w:rFonts w:ascii="Times New Roman" w:hAnsi="Times New Roman"/>
                <w:szCs w:val="22"/>
              </w:rPr>
              <w:t>6</w:t>
            </w:r>
          </w:p>
          <w:p w:rsidR="00350AA3" w:rsidRPr="00CD274E" w:rsidRDefault="00350AA3" w:rsidP="00DB1E90">
            <w:pPr>
              <w:ind w:right="72"/>
              <w:jc w:val="right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CD274E" w:rsidRPr="00D434F1" w:rsidRDefault="00CD274E" w:rsidP="00580CEF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2F621C" w:rsidRDefault="002F621C" w:rsidP="002F62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9B162D" w:rsidRPr="00D434F1" w:rsidRDefault="009B162D" w:rsidP="002F62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6"/>
        </w:rPr>
      </w:pPr>
    </w:p>
    <w:p w:rsidR="00350AA3" w:rsidRPr="00681C11" w:rsidRDefault="00350AA3" w:rsidP="0010758B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acima qualificada vem solicitar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="0010758B" w:rsidRPr="0010758B">
        <w:rPr>
          <w:b/>
          <w:sz w:val="22"/>
          <w:szCs w:val="22"/>
        </w:rPr>
        <w:t>acerca do direito ao crédito integral do ICMS, quando do pagamento de auto de infração relativo ao ICMS incidente sobre a importação de mercadorias</w:t>
      </w:r>
      <w:r w:rsidR="00876F0F">
        <w:rPr>
          <w:b/>
          <w:sz w:val="22"/>
          <w:szCs w:val="22"/>
        </w:rPr>
        <w:t>, utilizando-se do parcelamento previsto na Lei n° 7.116/15</w:t>
      </w:r>
      <w:r w:rsidR="005A49BA" w:rsidRPr="00681C11">
        <w:rPr>
          <w:b/>
          <w:sz w:val="22"/>
          <w:szCs w:val="22"/>
        </w:rPr>
        <w:t>.</w:t>
      </w:r>
    </w:p>
    <w:p w:rsidR="00A5194A" w:rsidRPr="00F70E22" w:rsidRDefault="00681C11" w:rsidP="00350AA3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F70E22">
        <w:rPr>
          <w:sz w:val="22"/>
          <w:szCs w:val="22"/>
        </w:rPr>
        <w:t>A consulente</w:t>
      </w:r>
      <w:r w:rsidR="00815B49">
        <w:rPr>
          <w:sz w:val="22"/>
          <w:szCs w:val="22"/>
        </w:rPr>
        <w:t xml:space="preserve"> exerce </w:t>
      </w:r>
      <w:r w:rsidR="00876F0F">
        <w:rPr>
          <w:sz w:val="22"/>
          <w:szCs w:val="22"/>
        </w:rPr>
        <w:t>“</w:t>
      </w:r>
      <w:r w:rsidR="00815B49" w:rsidRPr="00876F0F">
        <w:rPr>
          <w:i/>
          <w:sz w:val="22"/>
          <w:szCs w:val="22"/>
        </w:rPr>
        <w:t>atividade econômica de comércio, indústria e importação de gêneros alimentícios</w:t>
      </w:r>
      <w:r w:rsidR="00876F0F">
        <w:rPr>
          <w:sz w:val="22"/>
          <w:szCs w:val="22"/>
        </w:rPr>
        <w:t>”</w:t>
      </w:r>
      <w:r w:rsidR="00815B49">
        <w:rPr>
          <w:sz w:val="22"/>
          <w:szCs w:val="22"/>
        </w:rPr>
        <w:t xml:space="preserve"> e </w:t>
      </w:r>
      <w:r w:rsidR="00876F0F">
        <w:rPr>
          <w:sz w:val="22"/>
          <w:szCs w:val="22"/>
        </w:rPr>
        <w:t>“</w:t>
      </w:r>
      <w:r w:rsidR="00815B49" w:rsidRPr="00876F0F">
        <w:rPr>
          <w:i/>
          <w:sz w:val="22"/>
          <w:szCs w:val="22"/>
        </w:rPr>
        <w:t xml:space="preserve">possui autos de infração pendentes de julgamento, cujos débitos </w:t>
      </w:r>
      <w:proofErr w:type="gramStart"/>
      <w:r w:rsidR="00815B49" w:rsidRPr="00876F0F">
        <w:rPr>
          <w:i/>
          <w:sz w:val="22"/>
          <w:szCs w:val="22"/>
        </w:rPr>
        <w:t>analisa</w:t>
      </w:r>
      <w:proofErr w:type="gramEnd"/>
      <w:r w:rsidR="00815B49" w:rsidRPr="00876F0F">
        <w:rPr>
          <w:i/>
          <w:sz w:val="22"/>
          <w:szCs w:val="22"/>
        </w:rPr>
        <w:t xml:space="preserve"> a viabilidade de incluir no referido parcelamento, na modalidade a vista, ou seja, para que usufrua da redu</w:t>
      </w:r>
      <w:r w:rsidR="00876F0F" w:rsidRPr="00876F0F">
        <w:rPr>
          <w:i/>
          <w:sz w:val="22"/>
          <w:szCs w:val="22"/>
        </w:rPr>
        <w:t>ção de 100% de juros e multa, desde que assegurado seu direito ao crédito integral do tributo</w:t>
      </w:r>
      <w:r w:rsidR="00876F0F">
        <w:rPr>
          <w:sz w:val="22"/>
          <w:szCs w:val="22"/>
        </w:rPr>
        <w:t xml:space="preserve">” </w:t>
      </w:r>
      <w:r w:rsidR="00A5194A" w:rsidRPr="00F70E22">
        <w:rPr>
          <w:sz w:val="22"/>
          <w:szCs w:val="22"/>
        </w:rPr>
        <w:t>(</w:t>
      </w:r>
      <w:r w:rsidR="00815B49">
        <w:rPr>
          <w:sz w:val="22"/>
          <w:szCs w:val="22"/>
        </w:rPr>
        <w:t>fl. 3</w:t>
      </w:r>
      <w:r w:rsidR="00A5194A" w:rsidRPr="00F70E22">
        <w:rPr>
          <w:sz w:val="22"/>
          <w:szCs w:val="22"/>
        </w:rPr>
        <w:t>).</w:t>
      </w:r>
    </w:p>
    <w:p w:rsidR="0031519F" w:rsidRDefault="00350AA3" w:rsidP="00350AA3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com </w:t>
      </w:r>
      <w:r w:rsidR="0031519F">
        <w:rPr>
          <w:sz w:val="22"/>
          <w:szCs w:val="22"/>
        </w:rPr>
        <w:t>cópia de documento da pessoa habilitada (fl. 5),</w:t>
      </w:r>
      <w:r w:rsidR="0031519F" w:rsidRPr="0031519F">
        <w:rPr>
          <w:sz w:val="22"/>
          <w:szCs w:val="22"/>
        </w:rPr>
        <w:t xml:space="preserve"> </w:t>
      </w:r>
      <w:r w:rsidR="00876F0F">
        <w:rPr>
          <w:sz w:val="22"/>
          <w:szCs w:val="22"/>
        </w:rPr>
        <w:t xml:space="preserve">cópia de procuração (fl. 6), </w:t>
      </w:r>
      <w:r w:rsidR="00312238">
        <w:rPr>
          <w:sz w:val="22"/>
          <w:szCs w:val="22"/>
        </w:rPr>
        <w:t>cópia da Ata de Assembleia Geral Ordinária e Extraordinária</w:t>
      </w:r>
      <w:r w:rsidR="00312238" w:rsidRPr="008D0CD7">
        <w:rPr>
          <w:sz w:val="22"/>
          <w:szCs w:val="22"/>
        </w:rPr>
        <w:t xml:space="preserve"> da referida empresa (fls.</w:t>
      </w:r>
      <w:r w:rsidR="00312238">
        <w:rPr>
          <w:sz w:val="22"/>
          <w:szCs w:val="22"/>
        </w:rPr>
        <w:t xml:space="preserve"> 7/17</w:t>
      </w:r>
      <w:r w:rsidR="00312238" w:rsidRPr="008D0CD7">
        <w:rPr>
          <w:sz w:val="22"/>
          <w:szCs w:val="22"/>
        </w:rPr>
        <w:t>)</w:t>
      </w:r>
      <w:r w:rsidR="00312238">
        <w:rPr>
          <w:sz w:val="22"/>
          <w:szCs w:val="22"/>
        </w:rPr>
        <w:t>, cópia dos Autos de Infração n° 03.477580-9 e 03.477581-7</w:t>
      </w:r>
      <w:r w:rsidR="00A23F5E">
        <w:rPr>
          <w:sz w:val="22"/>
          <w:szCs w:val="22"/>
        </w:rPr>
        <w:t xml:space="preserve"> </w:t>
      </w:r>
      <w:r w:rsidR="00312238">
        <w:rPr>
          <w:sz w:val="22"/>
          <w:szCs w:val="22"/>
        </w:rPr>
        <w:t>(fls. 18/</w:t>
      </w:r>
      <w:r w:rsidR="00C94012">
        <w:rPr>
          <w:sz w:val="22"/>
          <w:szCs w:val="22"/>
        </w:rPr>
        <w:t>35) e</w:t>
      </w:r>
      <w:r w:rsidR="00A23F5E">
        <w:rPr>
          <w:sz w:val="22"/>
          <w:szCs w:val="22"/>
        </w:rPr>
        <w:t xml:space="preserve"> </w:t>
      </w:r>
      <w:r w:rsidR="0031519F" w:rsidRPr="008D0CD7">
        <w:rPr>
          <w:sz w:val="22"/>
          <w:szCs w:val="22"/>
        </w:rPr>
        <w:t>DARJ referente ao recolhimento da taxa de serviços Estaduais (fl</w:t>
      </w:r>
      <w:r w:rsidR="0031519F">
        <w:rPr>
          <w:sz w:val="22"/>
          <w:szCs w:val="22"/>
        </w:rPr>
        <w:t>s</w:t>
      </w:r>
      <w:r w:rsidR="0031519F" w:rsidRPr="008D0CD7">
        <w:rPr>
          <w:sz w:val="22"/>
          <w:szCs w:val="22"/>
        </w:rPr>
        <w:t xml:space="preserve">. </w:t>
      </w:r>
      <w:r w:rsidR="00A23F5E">
        <w:rPr>
          <w:sz w:val="22"/>
          <w:szCs w:val="22"/>
        </w:rPr>
        <w:t>36/37</w:t>
      </w:r>
      <w:r w:rsidR="0031519F">
        <w:rPr>
          <w:sz w:val="22"/>
          <w:szCs w:val="22"/>
        </w:rPr>
        <w:t>)</w:t>
      </w:r>
      <w:r w:rsidR="00C94012">
        <w:rPr>
          <w:sz w:val="22"/>
          <w:szCs w:val="22"/>
        </w:rPr>
        <w:t>.</w:t>
      </w:r>
      <w:r w:rsidR="0031519F">
        <w:rPr>
          <w:sz w:val="22"/>
          <w:szCs w:val="22"/>
        </w:rPr>
        <w:t xml:space="preserve"> </w:t>
      </w:r>
    </w:p>
    <w:p w:rsidR="00C00D9F" w:rsidRDefault="000D6809" w:rsidP="000D6809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94012" w:rsidRPr="00C94012">
        <w:rPr>
          <w:sz w:val="22"/>
          <w:szCs w:val="22"/>
        </w:rPr>
        <w:t xml:space="preserve">IFE 10 – Produtos Alimentícios </w:t>
      </w:r>
      <w:r>
        <w:rPr>
          <w:sz w:val="22"/>
          <w:szCs w:val="22"/>
        </w:rPr>
        <w:t xml:space="preserve">informou que a consulente não se encontra </w:t>
      </w:r>
      <w:proofErr w:type="gramStart"/>
      <w:r>
        <w:rPr>
          <w:sz w:val="22"/>
          <w:szCs w:val="22"/>
        </w:rPr>
        <w:t>sob ação</w:t>
      </w:r>
      <w:proofErr w:type="gramEnd"/>
      <w:r>
        <w:rPr>
          <w:sz w:val="22"/>
          <w:szCs w:val="22"/>
        </w:rPr>
        <w:t xml:space="preserve"> fiscal</w:t>
      </w:r>
      <w:r w:rsidR="00C00D9F">
        <w:rPr>
          <w:sz w:val="22"/>
          <w:szCs w:val="22"/>
        </w:rPr>
        <w:t xml:space="preserve"> (fl. 39</w:t>
      </w:r>
      <w:r w:rsidR="00C00D9F" w:rsidRPr="008968DF">
        <w:rPr>
          <w:sz w:val="22"/>
          <w:szCs w:val="22"/>
        </w:rPr>
        <w:t>)</w:t>
      </w:r>
      <w:r w:rsidR="00C00D9F">
        <w:rPr>
          <w:sz w:val="22"/>
          <w:szCs w:val="22"/>
        </w:rPr>
        <w:t>.</w:t>
      </w:r>
      <w:r w:rsidR="00C716DC">
        <w:rPr>
          <w:sz w:val="22"/>
          <w:szCs w:val="22"/>
        </w:rPr>
        <w:t xml:space="preserve"> Entretanto, não informou se </w:t>
      </w:r>
      <w:r w:rsidR="00C716DC" w:rsidRPr="00C716DC">
        <w:rPr>
          <w:sz w:val="22"/>
          <w:szCs w:val="22"/>
        </w:rPr>
        <w:t>existe</w:t>
      </w:r>
      <w:r w:rsidR="00C716DC">
        <w:rPr>
          <w:sz w:val="22"/>
          <w:szCs w:val="22"/>
        </w:rPr>
        <w:t>m</w:t>
      </w:r>
      <w:r w:rsidR="00C716DC" w:rsidRPr="00C716DC">
        <w:rPr>
          <w:sz w:val="22"/>
          <w:szCs w:val="22"/>
        </w:rPr>
        <w:t xml:space="preserve"> </w:t>
      </w:r>
      <w:r w:rsidR="00C716DC">
        <w:rPr>
          <w:sz w:val="22"/>
          <w:szCs w:val="22"/>
        </w:rPr>
        <w:t xml:space="preserve">outras </w:t>
      </w:r>
      <w:r w:rsidR="00C716DC" w:rsidRPr="00C716DC">
        <w:rPr>
          <w:sz w:val="22"/>
          <w:szCs w:val="22"/>
        </w:rPr>
        <w:t>autuaç</w:t>
      </w:r>
      <w:r w:rsidR="00C716DC">
        <w:rPr>
          <w:sz w:val="22"/>
          <w:szCs w:val="22"/>
        </w:rPr>
        <w:t>ões</w:t>
      </w:r>
      <w:r w:rsidR="00C716DC" w:rsidRPr="00C716DC">
        <w:rPr>
          <w:sz w:val="22"/>
          <w:szCs w:val="22"/>
        </w:rPr>
        <w:t xml:space="preserve"> pendente</w:t>
      </w:r>
      <w:r w:rsidR="0014468D">
        <w:rPr>
          <w:sz w:val="22"/>
          <w:szCs w:val="22"/>
        </w:rPr>
        <w:t>s</w:t>
      </w:r>
      <w:r w:rsidR="00C716DC" w:rsidRPr="00C716DC">
        <w:rPr>
          <w:sz w:val="22"/>
          <w:szCs w:val="22"/>
        </w:rPr>
        <w:t xml:space="preserve"> de decisão final, cujo fundamento esteja direta ou indiretamente relacionado às dúvidas suscitadas no presente instrumento</w:t>
      </w:r>
      <w:r w:rsidR="0014468D">
        <w:rPr>
          <w:sz w:val="22"/>
          <w:szCs w:val="22"/>
        </w:rPr>
        <w:t>.</w:t>
      </w:r>
    </w:p>
    <w:p w:rsidR="00350AA3" w:rsidRPr="00D434F1" w:rsidRDefault="00350AA3" w:rsidP="00350AA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350AA3" w:rsidRPr="004136EA" w:rsidRDefault="00350AA3" w:rsidP="00350AA3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350AA3" w:rsidRDefault="00C00D9F" w:rsidP="00350AA3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Uma vez feito o parcelamento, a Consulente tem o direito de se creditar automaticamente do va</w:t>
      </w:r>
      <w:r w:rsidR="00D6615C">
        <w:rPr>
          <w:i/>
          <w:sz w:val="22"/>
          <w:szCs w:val="22"/>
        </w:rPr>
        <w:t>lor do imposto ou o creditamento</w:t>
      </w:r>
      <w:r>
        <w:rPr>
          <w:i/>
          <w:sz w:val="22"/>
          <w:szCs w:val="22"/>
        </w:rPr>
        <w:t xml:space="preserve"> há de ser precedido de autorização do Fisco</w:t>
      </w:r>
      <w:r w:rsidR="00350AA3">
        <w:rPr>
          <w:i/>
          <w:sz w:val="22"/>
          <w:szCs w:val="22"/>
        </w:rPr>
        <w:t>?</w:t>
      </w:r>
    </w:p>
    <w:p w:rsidR="00C46AEA" w:rsidRDefault="00C00D9F" w:rsidP="00350AA3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Caso o creditamento do imposto não seja automático, qual o procedimento para que a Consulente proceda ao creditamento do valor do imposto e qual diploma legal o disciplina</w:t>
      </w:r>
      <w:r w:rsidR="00350AA3">
        <w:rPr>
          <w:i/>
          <w:sz w:val="22"/>
          <w:szCs w:val="22"/>
        </w:rPr>
        <w:t>?</w:t>
      </w:r>
    </w:p>
    <w:p w:rsidR="00D434F1" w:rsidRDefault="00D434F1" w:rsidP="00D434F1">
      <w:pPr>
        <w:pStyle w:val="Corpodetexto"/>
        <w:spacing w:line="360" w:lineRule="auto"/>
        <w:ind w:left="1069"/>
        <w:jc w:val="both"/>
        <w:rPr>
          <w:i/>
          <w:sz w:val="22"/>
          <w:szCs w:val="22"/>
        </w:rPr>
      </w:pPr>
    </w:p>
    <w:p w:rsidR="00C00D9F" w:rsidRDefault="00C00D9F" w:rsidP="00350AA3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Referido crédito deverá ser feito pelo valor histórico ou pelo valor atualizado efetivamente pago?</w:t>
      </w:r>
    </w:p>
    <w:p w:rsidR="00D434F1" w:rsidRDefault="00D434F1" w:rsidP="00D434F1">
      <w:pPr>
        <w:pStyle w:val="PargrafodaLista"/>
        <w:rPr>
          <w:i/>
        </w:rPr>
      </w:pPr>
    </w:p>
    <w:p w:rsidR="00D434F1" w:rsidRDefault="00C00D9F" w:rsidP="00D434F1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 crédito pode ser feito pelo total pago ou o contribuinte deverá apropriar-se individualmente do imposto normal e FECP?</w:t>
      </w:r>
    </w:p>
    <w:p w:rsidR="00D434F1" w:rsidRDefault="00D434F1" w:rsidP="00D434F1">
      <w:pPr>
        <w:pStyle w:val="PargrafodaLista"/>
        <w:rPr>
          <w:i/>
        </w:rPr>
      </w:pPr>
    </w:p>
    <w:p w:rsidR="00C00D9F" w:rsidRPr="00D434F1" w:rsidRDefault="00C00D9F" w:rsidP="00D434F1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D434F1">
        <w:rPr>
          <w:i/>
          <w:sz w:val="22"/>
          <w:szCs w:val="22"/>
        </w:rPr>
        <w:t>Caso os créditos possam ser apropriados integralmente na apuração, como deverão ser feitos os lançamentos na GIA e na EFD – Escrituração Fiscal Digital?</w:t>
      </w:r>
    </w:p>
    <w:p w:rsidR="00CD77A2" w:rsidRPr="00D434F1" w:rsidRDefault="00CD77A2" w:rsidP="00CD77A2">
      <w:pPr>
        <w:pStyle w:val="Corpodetexto"/>
        <w:spacing w:line="360" w:lineRule="auto"/>
        <w:ind w:left="1069"/>
        <w:jc w:val="both"/>
        <w:rPr>
          <w:i/>
          <w:sz w:val="20"/>
          <w:szCs w:val="22"/>
        </w:rPr>
      </w:pPr>
    </w:p>
    <w:p w:rsidR="002F621C" w:rsidRPr="006F06F0" w:rsidRDefault="002F621C" w:rsidP="006251E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2F621C" w:rsidRPr="00D434F1" w:rsidRDefault="002F621C" w:rsidP="009F4CBE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14468D" w:rsidRPr="0014468D" w:rsidRDefault="005D1269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4468D">
        <w:rPr>
          <w:rFonts w:ascii="Times New Roman" w:hAnsi="Times New Roman" w:cs="Times New Roman"/>
          <w:b/>
          <w:u w:val="single"/>
        </w:rPr>
        <w:t xml:space="preserve">Preliminarmente, </w:t>
      </w:r>
      <w:r w:rsidR="0014468D" w:rsidRPr="0014468D">
        <w:rPr>
          <w:rFonts w:ascii="Times New Roman" w:hAnsi="Times New Roman" w:cs="Times New Roman"/>
          <w:b/>
          <w:u w:val="single"/>
        </w:rPr>
        <w:t xml:space="preserve">por mera economia processual, será </w:t>
      </w:r>
      <w:proofErr w:type="gramStart"/>
      <w:r w:rsidR="0014468D" w:rsidRPr="0014468D">
        <w:rPr>
          <w:rFonts w:ascii="Times New Roman" w:hAnsi="Times New Roman" w:cs="Times New Roman"/>
          <w:b/>
          <w:u w:val="single"/>
        </w:rPr>
        <w:t>respondida a presente</w:t>
      </w:r>
      <w:proofErr w:type="gramEnd"/>
      <w:r w:rsidR="0014468D" w:rsidRPr="0014468D">
        <w:rPr>
          <w:rFonts w:ascii="Times New Roman" w:hAnsi="Times New Roman" w:cs="Times New Roman"/>
          <w:b/>
          <w:u w:val="single"/>
        </w:rPr>
        <w:t xml:space="preserve"> Consulta Tributária, ficando condicionada à inexistência outras autuações pendentes de decisão final, cujo fundamento esteja direta ou indiretamente relacionado às dúvidas suscitadas no presente instrumento.</w:t>
      </w:r>
    </w:p>
    <w:p w:rsidR="005D1269" w:rsidRDefault="0014468D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disso, </w:t>
      </w:r>
      <w:r w:rsidR="005D1269">
        <w:rPr>
          <w:rFonts w:ascii="Times New Roman" w:hAnsi="Times New Roman" w:cs="Times New Roman"/>
        </w:rPr>
        <w:t>como se pode verificar neste administrativo, às fls.</w:t>
      </w:r>
      <w:r w:rsidR="005D1269" w:rsidRPr="005D1269">
        <w:t xml:space="preserve"> </w:t>
      </w:r>
      <w:r w:rsidR="005D1269">
        <w:rPr>
          <w:rFonts w:ascii="Times New Roman" w:hAnsi="Times New Roman" w:cs="Times New Roman"/>
        </w:rPr>
        <w:t xml:space="preserve">18/35, os autos de infração </w:t>
      </w:r>
      <w:r w:rsidR="005D1269" w:rsidRPr="005D1269">
        <w:rPr>
          <w:rFonts w:ascii="Times New Roman" w:hAnsi="Times New Roman" w:cs="Times New Roman"/>
        </w:rPr>
        <w:t>n° 03.477580-9 e 03.477581-7</w:t>
      </w:r>
      <w:r w:rsidR="005D1269">
        <w:rPr>
          <w:rFonts w:ascii="Times New Roman" w:hAnsi="Times New Roman" w:cs="Times New Roman"/>
        </w:rPr>
        <w:t xml:space="preserve"> referem-se a débitos de ICMS incidente na importação de mercadorias</w:t>
      </w:r>
      <w:r w:rsidR="00A54A11">
        <w:rPr>
          <w:rFonts w:ascii="Times New Roman" w:hAnsi="Times New Roman" w:cs="Times New Roman"/>
        </w:rPr>
        <w:t>.</w:t>
      </w:r>
      <w:r w:rsidR="00EB138F">
        <w:rPr>
          <w:rFonts w:ascii="Times New Roman" w:hAnsi="Times New Roman" w:cs="Times New Roman"/>
        </w:rPr>
        <w:t xml:space="preserve"> A consulente pretende quitar tais autos de infração utilizando-se do parcelamento previsto na Lei n° 7.116/15</w:t>
      </w:r>
      <w:r w:rsidR="005D1269">
        <w:rPr>
          <w:rFonts w:ascii="Times New Roman" w:hAnsi="Times New Roman" w:cs="Times New Roman"/>
        </w:rPr>
        <w:t>.</w:t>
      </w:r>
    </w:p>
    <w:p w:rsidR="002D222D" w:rsidRDefault="002D222D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ao </w:t>
      </w:r>
      <w:r w:rsidR="005D1269">
        <w:rPr>
          <w:rFonts w:ascii="Times New Roman" w:hAnsi="Times New Roman" w:cs="Times New Roman"/>
        </w:rPr>
        <w:t xml:space="preserve">primeiro questionamento </w:t>
      </w:r>
      <w:r w:rsidR="00EB138F">
        <w:rPr>
          <w:rFonts w:ascii="Times New Roman" w:hAnsi="Times New Roman" w:cs="Times New Roman"/>
        </w:rPr>
        <w:t>apresentado</w:t>
      </w:r>
      <w:r w:rsidR="005D12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não há previsão expressa na legislação tributária fluminense quanto ao procedimento a ser adotado. Nesse sentido, entendemos que </w:t>
      </w:r>
      <w:r w:rsidR="005D1269">
        <w:rPr>
          <w:rFonts w:ascii="Times New Roman" w:hAnsi="Times New Roman" w:cs="Times New Roman"/>
        </w:rPr>
        <w:t xml:space="preserve">a consulente tem o direito de se creditar do valor </w:t>
      </w:r>
      <w:r w:rsidR="00EB138F">
        <w:rPr>
          <w:rFonts w:ascii="Times New Roman" w:hAnsi="Times New Roman" w:cs="Times New Roman"/>
        </w:rPr>
        <w:t>de ICMS incidente sobre a</w:t>
      </w:r>
      <w:r w:rsidR="005D1269">
        <w:rPr>
          <w:rFonts w:ascii="Times New Roman" w:hAnsi="Times New Roman" w:cs="Times New Roman"/>
        </w:rPr>
        <w:t xml:space="preserve"> importação </w:t>
      </w:r>
      <w:r w:rsidR="005D1269" w:rsidRPr="00A54A11">
        <w:rPr>
          <w:rFonts w:ascii="Times New Roman" w:hAnsi="Times New Roman" w:cs="Times New Roman"/>
          <w:b/>
          <w:u w:val="single"/>
        </w:rPr>
        <w:t>pago</w:t>
      </w:r>
      <w:r w:rsidR="005D1269">
        <w:rPr>
          <w:rFonts w:ascii="Times New Roman" w:hAnsi="Times New Roman" w:cs="Times New Roman"/>
        </w:rPr>
        <w:t xml:space="preserve">, </w:t>
      </w:r>
      <w:r w:rsidR="00A54A11">
        <w:rPr>
          <w:rFonts w:ascii="Times New Roman" w:hAnsi="Times New Roman" w:cs="Times New Roman"/>
        </w:rPr>
        <w:t xml:space="preserve">quando da </w:t>
      </w:r>
      <w:r w:rsidR="005D1269">
        <w:rPr>
          <w:rFonts w:ascii="Times New Roman" w:hAnsi="Times New Roman" w:cs="Times New Roman"/>
        </w:rPr>
        <w:t>utiliza</w:t>
      </w:r>
      <w:r w:rsidR="00A54A11">
        <w:rPr>
          <w:rFonts w:ascii="Times New Roman" w:hAnsi="Times New Roman" w:cs="Times New Roman"/>
        </w:rPr>
        <w:t>ção</w:t>
      </w:r>
      <w:r w:rsidR="005D1269">
        <w:rPr>
          <w:rFonts w:ascii="Times New Roman" w:hAnsi="Times New Roman" w:cs="Times New Roman"/>
        </w:rPr>
        <w:t xml:space="preserve"> do parcelamento previsto</w:t>
      </w:r>
      <w:r w:rsidR="00A54A11">
        <w:rPr>
          <w:rFonts w:ascii="Times New Roman" w:hAnsi="Times New Roman" w:cs="Times New Roman"/>
        </w:rPr>
        <w:t xml:space="preserve"> na Lei n° 7.116/15, por força do princípio da não cumulatividade.</w:t>
      </w:r>
    </w:p>
    <w:p w:rsidR="002D222D" w:rsidRDefault="00C82C05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Nessa hipótese, desde que regularmente cumpridos os requisitos previstos na Lei n° 7.116/15 e pago o referido débito de ICMS, não é necessária autorização do fisco fluminense para o contribuinte creditar-se do referido imposto. No entanto, é</w:t>
      </w:r>
      <w:r w:rsidR="002D222D">
        <w:rPr>
          <w:rFonts w:ascii="Times New Roman" w:hAnsi="Times New Roman" w:cs="Times New Roman"/>
        </w:rPr>
        <w:t xml:space="preserve"> importante deixar claro que caso o pagamento do ICMS seja parcelado, o contribuinte deverá creditar-se na mesma proporção paga mensalmente à fazenda estadual.</w:t>
      </w:r>
    </w:p>
    <w:p w:rsidR="00C82C05" w:rsidRDefault="00C82C05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segundo questionamento da consulente encontra-se prejudicado, tendo em vista a resposta do item anterior.</w:t>
      </w:r>
    </w:p>
    <w:p w:rsidR="00C82C05" w:rsidRDefault="00C82C05" w:rsidP="003335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relativamente ao</w:t>
      </w:r>
      <w:r w:rsidR="003335FE">
        <w:rPr>
          <w:rFonts w:ascii="Times New Roman" w:hAnsi="Times New Roman" w:cs="Times New Roman"/>
        </w:rPr>
        <w:t xml:space="preserve"> terceiro </w:t>
      </w:r>
      <w:r>
        <w:rPr>
          <w:rFonts w:ascii="Times New Roman" w:hAnsi="Times New Roman" w:cs="Times New Roman"/>
        </w:rPr>
        <w:t>questionamento, o crédito deverá ser efetuado pelo valor histórico, sendo vedada a sua atualização.</w:t>
      </w:r>
    </w:p>
    <w:p w:rsidR="003335FE" w:rsidRDefault="003335FE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35FE">
        <w:rPr>
          <w:rFonts w:ascii="Times New Roman" w:hAnsi="Times New Roman" w:cs="Times New Roman"/>
        </w:rPr>
        <w:lastRenderedPageBreak/>
        <w:t>Quanto ao quarto questionamento, não deverá ser feita distinção entre ICMS e FECP.</w:t>
      </w:r>
    </w:p>
    <w:p w:rsidR="003153E6" w:rsidRDefault="003335FE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relativamente ao quinto questionamento, </w:t>
      </w:r>
      <w:r w:rsidR="00C84969">
        <w:rPr>
          <w:rFonts w:ascii="Times New Roman" w:hAnsi="Times New Roman" w:cs="Times New Roman"/>
        </w:rPr>
        <w:t xml:space="preserve">o contribuinte deverá utilizar a </w:t>
      </w:r>
      <w:r w:rsidR="00C84969" w:rsidRPr="00C84969">
        <w:rPr>
          <w:rFonts w:ascii="Times New Roman" w:hAnsi="Times New Roman" w:cs="Times New Roman"/>
        </w:rPr>
        <w:t xml:space="preserve">Ficha Operações </w:t>
      </w:r>
      <w:proofErr w:type="gramStart"/>
      <w:r w:rsidR="00C84969" w:rsidRPr="00C84969">
        <w:rPr>
          <w:rFonts w:ascii="Times New Roman" w:hAnsi="Times New Roman" w:cs="Times New Roman"/>
        </w:rPr>
        <w:t>Próprias</w:t>
      </w:r>
      <w:proofErr w:type="gramEnd"/>
      <w:r w:rsidR="00C84969" w:rsidRPr="00C84969">
        <w:rPr>
          <w:rFonts w:ascii="Times New Roman" w:hAnsi="Times New Roman" w:cs="Times New Roman"/>
        </w:rPr>
        <w:t xml:space="preserve"> – Outros Créditos</w:t>
      </w:r>
      <w:r w:rsidR="00C84969">
        <w:rPr>
          <w:rFonts w:ascii="Times New Roman" w:hAnsi="Times New Roman" w:cs="Times New Roman"/>
        </w:rPr>
        <w:t xml:space="preserve"> da GIA-ICMS. Na Escrituração Fiscal Digital – EFD, </w:t>
      </w:r>
      <w:r w:rsidR="0009378B">
        <w:rPr>
          <w:rFonts w:ascii="Times New Roman" w:hAnsi="Times New Roman" w:cs="Times New Roman"/>
        </w:rPr>
        <w:t>o</w:t>
      </w:r>
      <w:r w:rsidR="0009378B" w:rsidRPr="0009378B">
        <w:rPr>
          <w:rFonts w:ascii="Times New Roman" w:hAnsi="Times New Roman" w:cs="Times New Roman"/>
        </w:rPr>
        <w:t xml:space="preserve"> contribuinte deverá observar o procedimento IV da Tabela “Normas </w:t>
      </w:r>
      <w:proofErr w:type="gramStart"/>
      <w:r w:rsidR="0009378B" w:rsidRPr="0009378B">
        <w:rPr>
          <w:rFonts w:ascii="Times New Roman" w:hAnsi="Times New Roman" w:cs="Times New Roman"/>
        </w:rPr>
        <w:t>relativas</w:t>
      </w:r>
      <w:proofErr w:type="gramEnd"/>
      <w:r w:rsidR="0009378B" w:rsidRPr="0009378B">
        <w:rPr>
          <w:rFonts w:ascii="Times New Roman" w:hAnsi="Times New Roman" w:cs="Times New Roman"/>
        </w:rPr>
        <w:t xml:space="preserve"> à EFD” do Anexo VII da Parte II da Resolução SEFAZ nº 720/2014, preenchendo no Registro E112 o número do processo relativo ao Auto de Infração e o número do processo referente ao parcelamento.</w:t>
      </w:r>
    </w:p>
    <w:p w:rsidR="003153E6" w:rsidRPr="00D434F1" w:rsidRDefault="003153E6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0D6809" w:rsidRPr="006F06F0" w:rsidRDefault="000D6809" w:rsidP="000D6809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  <w:b/>
        </w:rPr>
        <w:t>RESPOSTA</w:t>
      </w:r>
    </w:p>
    <w:p w:rsidR="000D6809" w:rsidRPr="00D434F1" w:rsidRDefault="000D6809" w:rsidP="000D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0D6809" w:rsidRDefault="000D6809" w:rsidP="00D434F1">
      <w:pPr>
        <w:spacing w:after="16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exposto</w:t>
      </w:r>
      <w:r w:rsidRPr="00686534">
        <w:rPr>
          <w:rFonts w:ascii="Times New Roman" w:hAnsi="Times New Roman" w:cs="Times New Roman"/>
        </w:rPr>
        <w:t>,</w:t>
      </w:r>
      <w:r w:rsidR="0095551C">
        <w:rPr>
          <w:rFonts w:ascii="Times New Roman" w:hAnsi="Times New Roman" w:cs="Times New Roman"/>
        </w:rPr>
        <w:t xml:space="preserve"> esta resposta de consulta é:</w:t>
      </w:r>
    </w:p>
    <w:p w:rsidR="00D434F1" w:rsidRDefault="0095551C" w:rsidP="00D434F1">
      <w:pPr>
        <w:pStyle w:val="PargrafodaLista"/>
        <w:numPr>
          <w:ilvl w:val="0"/>
          <w:numId w:val="13"/>
        </w:numPr>
        <w:spacing w:after="16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9B0D1C">
        <w:rPr>
          <w:rFonts w:ascii="Times New Roman" w:hAnsi="Times New Roman" w:cs="Times New Roman"/>
          <w:b/>
        </w:rPr>
        <w:t>desde</w:t>
      </w:r>
      <w:proofErr w:type="gramEnd"/>
      <w:r w:rsidRPr="009B0D1C">
        <w:rPr>
          <w:rFonts w:ascii="Times New Roman" w:hAnsi="Times New Roman" w:cs="Times New Roman"/>
          <w:b/>
        </w:rPr>
        <w:t xml:space="preserve"> que regularmente cumpridos os requisitos </w:t>
      </w:r>
      <w:r w:rsidR="00D434F1">
        <w:rPr>
          <w:rFonts w:ascii="Times New Roman" w:hAnsi="Times New Roman" w:cs="Times New Roman"/>
          <w:b/>
        </w:rPr>
        <w:t xml:space="preserve">do parcelamento previsto na </w:t>
      </w:r>
      <w:r w:rsidR="009206D3">
        <w:rPr>
          <w:rFonts w:ascii="Times New Roman" w:hAnsi="Times New Roman" w:cs="Times New Roman"/>
          <w:b/>
        </w:rPr>
        <w:t>L</w:t>
      </w:r>
      <w:r w:rsidR="00D434F1">
        <w:rPr>
          <w:rFonts w:ascii="Times New Roman" w:hAnsi="Times New Roman" w:cs="Times New Roman"/>
          <w:b/>
        </w:rPr>
        <w:t>ei</w:t>
      </w:r>
      <w:r w:rsidR="009206D3">
        <w:rPr>
          <w:rFonts w:ascii="Times New Roman" w:hAnsi="Times New Roman" w:cs="Times New Roman"/>
          <w:b/>
        </w:rPr>
        <w:t xml:space="preserve"> n° 7116/15, a</w:t>
      </w:r>
      <w:r w:rsidR="00D434F1">
        <w:rPr>
          <w:rFonts w:ascii="Times New Roman" w:hAnsi="Times New Roman" w:cs="Times New Roman"/>
          <w:b/>
        </w:rPr>
        <w:t xml:space="preserve"> consulente tem direito de se creditar do valor histórico do imposto já </w:t>
      </w:r>
      <w:r w:rsidR="00D434F1" w:rsidRPr="009206D3">
        <w:rPr>
          <w:rFonts w:ascii="Times New Roman" w:hAnsi="Times New Roman" w:cs="Times New Roman"/>
          <w:b/>
          <w:u w:val="single"/>
        </w:rPr>
        <w:t>efetivamente pago</w:t>
      </w:r>
      <w:r w:rsidR="00D434F1">
        <w:rPr>
          <w:rFonts w:ascii="Times New Roman" w:hAnsi="Times New Roman" w:cs="Times New Roman"/>
          <w:b/>
        </w:rPr>
        <w:t>, isto é, sem adição dos montantes pertinentes à atualização monetária, acréscimos moratórios ou de multa, pode</w:t>
      </w:r>
      <w:r w:rsidR="009206D3">
        <w:rPr>
          <w:rFonts w:ascii="Times New Roman" w:hAnsi="Times New Roman" w:cs="Times New Roman"/>
          <w:b/>
        </w:rPr>
        <w:t>ndo</w:t>
      </w:r>
      <w:r w:rsidR="00D434F1">
        <w:rPr>
          <w:rFonts w:ascii="Times New Roman" w:hAnsi="Times New Roman" w:cs="Times New Roman"/>
          <w:b/>
        </w:rPr>
        <w:t xml:space="preserve"> realizar a sua escrituração na </w:t>
      </w:r>
      <w:r w:rsidR="00DF2023">
        <w:rPr>
          <w:rFonts w:ascii="Times New Roman" w:hAnsi="Times New Roman" w:cs="Times New Roman"/>
          <w:b/>
        </w:rPr>
        <w:t>“</w:t>
      </w:r>
      <w:r w:rsidR="00D434F1" w:rsidRPr="0009378B">
        <w:rPr>
          <w:rFonts w:ascii="Times New Roman" w:hAnsi="Times New Roman" w:cs="Times New Roman"/>
          <w:b/>
        </w:rPr>
        <w:t>Escrituração Fiscal Digital</w:t>
      </w:r>
      <w:r w:rsidR="00DF2023">
        <w:rPr>
          <w:rFonts w:ascii="Times New Roman" w:hAnsi="Times New Roman" w:cs="Times New Roman"/>
          <w:b/>
        </w:rPr>
        <w:t>”</w:t>
      </w:r>
      <w:r w:rsidR="00D434F1" w:rsidRPr="0009378B">
        <w:rPr>
          <w:rFonts w:ascii="Times New Roman" w:hAnsi="Times New Roman" w:cs="Times New Roman"/>
          <w:b/>
        </w:rPr>
        <w:t xml:space="preserve"> – </w:t>
      </w:r>
      <w:r w:rsidR="00D434F1">
        <w:rPr>
          <w:rFonts w:ascii="Times New Roman" w:hAnsi="Times New Roman" w:cs="Times New Roman"/>
          <w:b/>
        </w:rPr>
        <w:t xml:space="preserve">EFD de forma automática, </w:t>
      </w:r>
      <w:r w:rsidR="00D434F1" w:rsidRPr="009206D3">
        <w:rPr>
          <w:rFonts w:ascii="Times New Roman" w:hAnsi="Times New Roman" w:cs="Times New Roman"/>
          <w:b/>
          <w:u w:val="single"/>
        </w:rPr>
        <w:t>na mesma proporção recolhida aos cofres estaduais mensalmente</w:t>
      </w:r>
      <w:r w:rsidR="00D434F1">
        <w:rPr>
          <w:rFonts w:ascii="Times New Roman" w:hAnsi="Times New Roman" w:cs="Times New Roman"/>
          <w:b/>
        </w:rPr>
        <w:t>;</w:t>
      </w:r>
    </w:p>
    <w:p w:rsidR="009B0D1C" w:rsidRDefault="0095551C" w:rsidP="00D434F1">
      <w:pPr>
        <w:pStyle w:val="PargrafodaLista"/>
        <w:numPr>
          <w:ilvl w:val="0"/>
          <w:numId w:val="13"/>
        </w:numPr>
        <w:spacing w:after="160" w:line="36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9B0D1C">
        <w:rPr>
          <w:rFonts w:ascii="Times New Roman" w:hAnsi="Times New Roman" w:cs="Times New Roman"/>
          <w:b/>
        </w:rPr>
        <w:t>prejudicado</w:t>
      </w:r>
      <w:proofErr w:type="gramEnd"/>
      <w:r w:rsidRPr="009B0D1C">
        <w:rPr>
          <w:rFonts w:ascii="Times New Roman" w:hAnsi="Times New Roman" w:cs="Times New Roman"/>
          <w:b/>
        </w:rPr>
        <w:t>, tendo em vi</w:t>
      </w:r>
      <w:r w:rsidR="009B0D1C" w:rsidRPr="009B0D1C">
        <w:rPr>
          <w:rFonts w:ascii="Times New Roman" w:hAnsi="Times New Roman" w:cs="Times New Roman"/>
          <w:b/>
        </w:rPr>
        <w:t>sta a resposta do item anterior;</w:t>
      </w:r>
    </w:p>
    <w:p w:rsidR="009B0D1C" w:rsidRDefault="009B0D1C" w:rsidP="00D434F1">
      <w:pPr>
        <w:pStyle w:val="PargrafodaLista"/>
        <w:numPr>
          <w:ilvl w:val="0"/>
          <w:numId w:val="13"/>
        </w:numPr>
        <w:spacing w:after="160" w:line="36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9B0D1C">
        <w:rPr>
          <w:rFonts w:ascii="Times New Roman" w:hAnsi="Times New Roman" w:cs="Times New Roman"/>
          <w:b/>
        </w:rPr>
        <w:t>o</w:t>
      </w:r>
      <w:proofErr w:type="gramEnd"/>
      <w:r w:rsidR="0095551C" w:rsidRPr="009B0D1C">
        <w:rPr>
          <w:rFonts w:ascii="Times New Roman" w:hAnsi="Times New Roman" w:cs="Times New Roman"/>
          <w:b/>
        </w:rPr>
        <w:t xml:space="preserve"> crédito deverá ser efetuado pelo valor histórico,</w:t>
      </w:r>
      <w:r w:rsidRPr="009B0D1C">
        <w:rPr>
          <w:rFonts w:ascii="Times New Roman" w:hAnsi="Times New Roman" w:cs="Times New Roman"/>
          <w:b/>
        </w:rPr>
        <w:t xml:space="preserve"> sendo vedada a sua atualização;</w:t>
      </w:r>
    </w:p>
    <w:p w:rsidR="009B0D1C" w:rsidRDefault="009B0D1C" w:rsidP="00D434F1">
      <w:pPr>
        <w:pStyle w:val="PargrafodaLista"/>
        <w:numPr>
          <w:ilvl w:val="0"/>
          <w:numId w:val="13"/>
        </w:numPr>
        <w:spacing w:after="160" w:line="36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9B0D1C">
        <w:rPr>
          <w:rFonts w:ascii="Times New Roman" w:hAnsi="Times New Roman" w:cs="Times New Roman"/>
          <w:b/>
        </w:rPr>
        <w:t>n</w:t>
      </w:r>
      <w:r w:rsidR="0095551C" w:rsidRPr="009B0D1C">
        <w:rPr>
          <w:rFonts w:ascii="Times New Roman" w:hAnsi="Times New Roman" w:cs="Times New Roman"/>
          <w:b/>
        </w:rPr>
        <w:t>ão</w:t>
      </w:r>
      <w:proofErr w:type="gramEnd"/>
      <w:r w:rsidR="0095551C" w:rsidRPr="009B0D1C">
        <w:rPr>
          <w:rFonts w:ascii="Times New Roman" w:hAnsi="Times New Roman" w:cs="Times New Roman"/>
          <w:b/>
        </w:rPr>
        <w:t xml:space="preserve"> deverá ser fe</w:t>
      </w:r>
      <w:r w:rsidRPr="009B0D1C">
        <w:rPr>
          <w:rFonts w:ascii="Times New Roman" w:hAnsi="Times New Roman" w:cs="Times New Roman"/>
          <w:b/>
        </w:rPr>
        <w:t>ita distinção entre ICMS e FECP;</w:t>
      </w:r>
    </w:p>
    <w:p w:rsidR="00D131B0" w:rsidRDefault="009B0D1C" w:rsidP="00D434F1">
      <w:pPr>
        <w:pStyle w:val="PargrafodaLista"/>
        <w:numPr>
          <w:ilvl w:val="0"/>
          <w:numId w:val="13"/>
        </w:numPr>
        <w:spacing w:after="160" w:line="36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9B0D1C">
        <w:rPr>
          <w:rFonts w:ascii="Times New Roman" w:hAnsi="Times New Roman" w:cs="Times New Roman"/>
          <w:b/>
        </w:rPr>
        <w:t>o</w:t>
      </w:r>
      <w:proofErr w:type="gramEnd"/>
      <w:r w:rsidR="0095551C" w:rsidRPr="009B0D1C">
        <w:rPr>
          <w:rFonts w:ascii="Times New Roman" w:hAnsi="Times New Roman" w:cs="Times New Roman"/>
          <w:b/>
        </w:rPr>
        <w:t xml:space="preserve"> contribuinte deverá utilizar a Ficha Operações Próprias – Outros Créditos da GIA-ICMS. </w:t>
      </w:r>
      <w:r w:rsidR="0009378B" w:rsidRPr="0009378B">
        <w:rPr>
          <w:rFonts w:ascii="Times New Roman" w:hAnsi="Times New Roman" w:cs="Times New Roman"/>
          <w:b/>
        </w:rPr>
        <w:t xml:space="preserve">Na Escrituração Fiscal Digital – EFD, o contribuinte deverá observar o procedimento IV da Tabela “Normas </w:t>
      </w:r>
      <w:proofErr w:type="gramStart"/>
      <w:r w:rsidR="0009378B" w:rsidRPr="0009378B">
        <w:rPr>
          <w:rFonts w:ascii="Times New Roman" w:hAnsi="Times New Roman" w:cs="Times New Roman"/>
          <w:b/>
        </w:rPr>
        <w:t>relativas</w:t>
      </w:r>
      <w:proofErr w:type="gramEnd"/>
      <w:r w:rsidR="0009378B" w:rsidRPr="0009378B">
        <w:rPr>
          <w:rFonts w:ascii="Times New Roman" w:hAnsi="Times New Roman" w:cs="Times New Roman"/>
          <w:b/>
        </w:rPr>
        <w:t xml:space="preserve"> à EFD” do Anexo VII da Parte II da Resolução SEFAZ nº 720/2014, preenchendo no Registro E112 o número do processo relativo ao Auto de Infração e o número do processo referente ao parcelamento</w:t>
      </w:r>
      <w:r w:rsidR="0095551C" w:rsidRPr="009B0D1C">
        <w:rPr>
          <w:rFonts w:ascii="Times New Roman" w:hAnsi="Times New Roman" w:cs="Times New Roman"/>
          <w:b/>
        </w:rPr>
        <w:t>.</w:t>
      </w:r>
    </w:p>
    <w:p w:rsidR="007A36F7" w:rsidRDefault="007A36F7" w:rsidP="007A36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534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686534">
        <w:rPr>
          <w:rFonts w:ascii="Times New Roman" w:hAnsi="Times New Roman" w:cs="Times New Roman"/>
        </w:rPr>
        <w:t xml:space="preserve"> ou seja</w:t>
      </w:r>
      <w:proofErr w:type="gramEnd"/>
      <w:r w:rsidRPr="00686534">
        <w:rPr>
          <w:rFonts w:ascii="Times New Roman" w:hAnsi="Times New Roman" w:cs="Times New Roman"/>
        </w:rPr>
        <w:t xml:space="preserve"> editada norma superveniente dispondo de forma contrária. </w:t>
      </w:r>
    </w:p>
    <w:p w:rsidR="0014468D" w:rsidRPr="0014468D" w:rsidRDefault="0014468D" w:rsidP="001446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fim, repise-se que</w:t>
      </w:r>
      <w:r w:rsidRPr="00144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 </w:t>
      </w:r>
      <w:r w:rsidRPr="0014468D">
        <w:rPr>
          <w:rFonts w:ascii="Times New Roman" w:hAnsi="Times New Roman" w:cs="Times New Roman"/>
        </w:rPr>
        <w:t>respo</w:t>
      </w:r>
      <w:r>
        <w:rPr>
          <w:rFonts w:ascii="Times New Roman" w:hAnsi="Times New Roman" w:cs="Times New Roman"/>
        </w:rPr>
        <w:t>sta</w:t>
      </w:r>
      <w:r w:rsidRPr="00144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14468D">
        <w:rPr>
          <w:rFonts w:ascii="Times New Roman" w:hAnsi="Times New Roman" w:cs="Times New Roman"/>
        </w:rPr>
        <w:t xml:space="preserve"> Consulta Tributária </w:t>
      </w:r>
      <w:r>
        <w:rPr>
          <w:rFonts w:ascii="Times New Roman" w:hAnsi="Times New Roman" w:cs="Times New Roman"/>
        </w:rPr>
        <w:t>está</w:t>
      </w:r>
      <w:r w:rsidRPr="0014468D">
        <w:rPr>
          <w:rFonts w:ascii="Times New Roman" w:hAnsi="Times New Roman" w:cs="Times New Roman"/>
        </w:rPr>
        <w:t xml:space="preserve"> condicionada à inexistência </w:t>
      </w:r>
      <w:r w:rsidR="0025163B">
        <w:rPr>
          <w:rFonts w:ascii="Times New Roman" w:hAnsi="Times New Roman" w:cs="Times New Roman"/>
        </w:rPr>
        <w:t xml:space="preserve">de </w:t>
      </w:r>
      <w:r w:rsidRPr="0014468D">
        <w:rPr>
          <w:rFonts w:ascii="Times New Roman" w:hAnsi="Times New Roman" w:cs="Times New Roman"/>
        </w:rPr>
        <w:t>outras autuações pendentes de decisão final, cujo fundamento esteja direta ou indiretamente relacionado às dúvidas suscitadas no presente instrumento.</w:t>
      </w:r>
    </w:p>
    <w:p w:rsidR="00544697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14468D">
        <w:rPr>
          <w:rFonts w:ascii="Times New Roman" w:hAnsi="Times New Roman" w:cs="Times New Roman"/>
        </w:rPr>
        <w:t>25</w:t>
      </w:r>
      <w:r w:rsidR="00521992">
        <w:rPr>
          <w:rFonts w:ascii="Times New Roman" w:hAnsi="Times New Roman" w:cs="Times New Roman"/>
        </w:rPr>
        <w:t xml:space="preserve"> de janeiro de 2016</w:t>
      </w:r>
      <w:r w:rsidR="00544697">
        <w:rPr>
          <w:rFonts w:ascii="Times New Roman" w:hAnsi="Times New Roman" w:cs="Times New Roman"/>
        </w:rPr>
        <w:t>.</w:t>
      </w:r>
    </w:p>
    <w:p w:rsidR="00D434F1" w:rsidRDefault="00D434F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D434F1" w:rsidRDefault="00D434F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D434F1" w:rsidSect="00A2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B3" w:rsidRDefault="00FD09B3" w:rsidP="00546EC0">
      <w:pPr>
        <w:spacing w:after="0" w:line="240" w:lineRule="auto"/>
      </w:pPr>
      <w:r>
        <w:separator/>
      </w:r>
    </w:p>
  </w:endnote>
  <w:endnote w:type="continuationSeparator" w:id="0">
    <w:p w:rsidR="00FD09B3" w:rsidRDefault="00FD09B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F" w:rsidRDefault="00A266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F" w:rsidRDefault="00A266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F" w:rsidRDefault="00A266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B3" w:rsidRDefault="00FD09B3" w:rsidP="00546EC0">
      <w:pPr>
        <w:spacing w:after="0" w:line="240" w:lineRule="auto"/>
      </w:pPr>
      <w:r>
        <w:separator/>
      </w:r>
    </w:p>
  </w:footnote>
  <w:footnote w:type="continuationSeparator" w:id="0">
    <w:p w:rsidR="00FD09B3" w:rsidRDefault="00FD09B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F" w:rsidRDefault="00A266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2C1F6C6" wp14:editId="3624D442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156778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56778" w:rsidRPr="002E7B20" w:rsidRDefault="00156778" w:rsidP="0015677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5871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2015</w:t>
                </w:r>
              </w:p>
            </w:tc>
          </w:tr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15677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156778">
                  <w:rPr>
                    <w:rFonts w:ascii="Times New Roman" w:hAnsi="Times New Roman"/>
                    <w:sz w:val="20"/>
                  </w:rPr>
                  <w:t>15</w:t>
                </w:r>
                <w:r w:rsidR="00723073">
                  <w:rPr>
                    <w:rFonts w:ascii="Times New Roman" w:hAnsi="Times New Roman"/>
                    <w:sz w:val="20"/>
                  </w:rPr>
                  <w:t>/</w:t>
                </w:r>
                <w:r w:rsidR="00156778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723073">
                  <w:rPr>
                    <w:rFonts w:ascii="Times New Roman" w:hAnsi="Times New Roman"/>
                    <w:sz w:val="20"/>
                  </w:rPr>
                  <w:t>5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D55216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D55216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A266EF">
                  <w:rPr>
                    <w:rFonts w:ascii="Times New Roman" w:hAnsi="Times New Roman"/>
                    <w:noProof/>
                    <w:sz w:val="20"/>
                  </w:rPr>
                  <w:t>41</w:t>
                </w:r>
                <w:r w:rsidR="00D55216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DB1E9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DB1E90" w:rsidRPr="00462AC3" w:rsidRDefault="00DB1E90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F" w:rsidRDefault="00A2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E2569"/>
    <w:multiLevelType w:val="hybridMultilevel"/>
    <w:tmpl w:val="90442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2389A"/>
    <w:rsid w:val="0003044A"/>
    <w:rsid w:val="00054EB8"/>
    <w:rsid w:val="0005634A"/>
    <w:rsid w:val="00070B1C"/>
    <w:rsid w:val="0008336D"/>
    <w:rsid w:val="00084116"/>
    <w:rsid w:val="000874A1"/>
    <w:rsid w:val="0009378B"/>
    <w:rsid w:val="000C115B"/>
    <w:rsid w:val="000C2BAA"/>
    <w:rsid w:val="000C3A53"/>
    <w:rsid w:val="000C474C"/>
    <w:rsid w:val="000D6809"/>
    <w:rsid w:val="000D6F55"/>
    <w:rsid w:val="000F30B1"/>
    <w:rsid w:val="000F4FB2"/>
    <w:rsid w:val="000F63EE"/>
    <w:rsid w:val="0010758B"/>
    <w:rsid w:val="00111ED2"/>
    <w:rsid w:val="0014427E"/>
    <w:rsid w:val="0014468D"/>
    <w:rsid w:val="0014555C"/>
    <w:rsid w:val="00147152"/>
    <w:rsid w:val="00156778"/>
    <w:rsid w:val="00156B62"/>
    <w:rsid w:val="00157300"/>
    <w:rsid w:val="00163E34"/>
    <w:rsid w:val="00166FDB"/>
    <w:rsid w:val="001760E5"/>
    <w:rsid w:val="001A0157"/>
    <w:rsid w:val="001C7B3E"/>
    <w:rsid w:val="001E4F56"/>
    <w:rsid w:val="001F309B"/>
    <w:rsid w:val="001F3956"/>
    <w:rsid w:val="001F3F43"/>
    <w:rsid w:val="001F7132"/>
    <w:rsid w:val="00210225"/>
    <w:rsid w:val="002124DC"/>
    <w:rsid w:val="00216AA2"/>
    <w:rsid w:val="00217892"/>
    <w:rsid w:val="00222C49"/>
    <w:rsid w:val="00223814"/>
    <w:rsid w:val="0023652F"/>
    <w:rsid w:val="002436D8"/>
    <w:rsid w:val="0025163B"/>
    <w:rsid w:val="00251988"/>
    <w:rsid w:val="00253080"/>
    <w:rsid w:val="00264B3C"/>
    <w:rsid w:val="00265632"/>
    <w:rsid w:val="00277CB4"/>
    <w:rsid w:val="002827AA"/>
    <w:rsid w:val="0028490E"/>
    <w:rsid w:val="00286428"/>
    <w:rsid w:val="00296DAB"/>
    <w:rsid w:val="002B25A7"/>
    <w:rsid w:val="002B2A2D"/>
    <w:rsid w:val="002B71CC"/>
    <w:rsid w:val="002C092A"/>
    <w:rsid w:val="002C2F26"/>
    <w:rsid w:val="002D222D"/>
    <w:rsid w:val="002E500A"/>
    <w:rsid w:val="002F5AAC"/>
    <w:rsid w:val="002F621C"/>
    <w:rsid w:val="002F6424"/>
    <w:rsid w:val="002F6EDB"/>
    <w:rsid w:val="00300997"/>
    <w:rsid w:val="00306109"/>
    <w:rsid w:val="00307D59"/>
    <w:rsid w:val="00312238"/>
    <w:rsid w:val="0031519F"/>
    <w:rsid w:val="003153E6"/>
    <w:rsid w:val="003335FE"/>
    <w:rsid w:val="003453A9"/>
    <w:rsid w:val="00350AA3"/>
    <w:rsid w:val="00350DC5"/>
    <w:rsid w:val="0035322A"/>
    <w:rsid w:val="00355B36"/>
    <w:rsid w:val="00360C1E"/>
    <w:rsid w:val="0036656D"/>
    <w:rsid w:val="00367604"/>
    <w:rsid w:val="00370985"/>
    <w:rsid w:val="003716F0"/>
    <w:rsid w:val="00376A58"/>
    <w:rsid w:val="003829C7"/>
    <w:rsid w:val="0038321B"/>
    <w:rsid w:val="00385A1F"/>
    <w:rsid w:val="003C3FF2"/>
    <w:rsid w:val="003D672A"/>
    <w:rsid w:val="003E2C18"/>
    <w:rsid w:val="003E3048"/>
    <w:rsid w:val="003E5196"/>
    <w:rsid w:val="003E5502"/>
    <w:rsid w:val="003E5ED9"/>
    <w:rsid w:val="004047D7"/>
    <w:rsid w:val="00411549"/>
    <w:rsid w:val="00412522"/>
    <w:rsid w:val="004136EA"/>
    <w:rsid w:val="0041623A"/>
    <w:rsid w:val="00416D11"/>
    <w:rsid w:val="004220AD"/>
    <w:rsid w:val="00423EF2"/>
    <w:rsid w:val="004241D0"/>
    <w:rsid w:val="00427F9E"/>
    <w:rsid w:val="00443B85"/>
    <w:rsid w:val="00455FAC"/>
    <w:rsid w:val="00462AC3"/>
    <w:rsid w:val="00464744"/>
    <w:rsid w:val="00480304"/>
    <w:rsid w:val="00481E33"/>
    <w:rsid w:val="00481F61"/>
    <w:rsid w:val="00482C57"/>
    <w:rsid w:val="00483017"/>
    <w:rsid w:val="004A02C8"/>
    <w:rsid w:val="004C09C0"/>
    <w:rsid w:val="004C1EB5"/>
    <w:rsid w:val="004D3BD9"/>
    <w:rsid w:val="004E2759"/>
    <w:rsid w:val="004F17F9"/>
    <w:rsid w:val="004F5CBF"/>
    <w:rsid w:val="004F6E81"/>
    <w:rsid w:val="00511D0E"/>
    <w:rsid w:val="00515D0B"/>
    <w:rsid w:val="00521992"/>
    <w:rsid w:val="005220FC"/>
    <w:rsid w:val="00531AD8"/>
    <w:rsid w:val="005333BB"/>
    <w:rsid w:val="0053697F"/>
    <w:rsid w:val="00542EA5"/>
    <w:rsid w:val="00544697"/>
    <w:rsid w:val="00544A3C"/>
    <w:rsid w:val="00546EC0"/>
    <w:rsid w:val="00555312"/>
    <w:rsid w:val="005578E8"/>
    <w:rsid w:val="0056466F"/>
    <w:rsid w:val="005707CA"/>
    <w:rsid w:val="0057103A"/>
    <w:rsid w:val="00580CEF"/>
    <w:rsid w:val="0058434E"/>
    <w:rsid w:val="00584587"/>
    <w:rsid w:val="005860DD"/>
    <w:rsid w:val="005A37D1"/>
    <w:rsid w:val="005A49BA"/>
    <w:rsid w:val="005A535E"/>
    <w:rsid w:val="005A6F87"/>
    <w:rsid w:val="005A70B3"/>
    <w:rsid w:val="005B395F"/>
    <w:rsid w:val="005C5FC9"/>
    <w:rsid w:val="005D1269"/>
    <w:rsid w:val="005D2324"/>
    <w:rsid w:val="005D4F5C"/>
    <w:rsid w:val="005E14DA"/>
    <w:rsid w:val="005E7A38"/>
    <w:rsid w:val="005F26B5"/>
    <w:rsid w:val="005F47B6"/>
    <w:rsid w:val="005F55C3"/>
    <w:rsid w:val="006001F3"/>
    <w:rsid w:val="00602B62"/>
    <w:rsid w:val="00616D6F"/>
    <w:rsid w:val="006251E1"/>
    <w:rsid w:val="006406C8"/>
    <w:rsid w:val="0065393E"/>
    <w:rsid w:val="00654C1A"/>
    <w:rsid w:val="00655358"/>
    <w:rsid w:val="006637B6"/>
    <w:rsid w:val="0066751B"/>
    <w:rsid w:val="00681C11"/>
    <w:rsid w:val="006862AA"/>
    <w:rsid w:val="00686534"/>
    <w:rsid w:val="006A2586"/>
    <w:rsid w:val="006A270F"/>
    <w:rsid w:val="006A3E5C"/>
    <w:rsid w:val="006B0166"/>
    <w:rsid w:val="006B1F43"/>
    <w:rsid w:val="006C0215"/>
    <w:rsid w:val="006C22B0"/>
    <w:rsid w:val="006C2B14"/>
    <w:rsid w:val="006D3BD2"/>
    <w:rsid w:val="006E73A4"/>
    <w:rsid w:val="006F06F0"/>
    <w:rsid w:val="006F371B"/>
    <w:rsid w:val="006F7509"/>
    <w:rsid w:val="00723073"/>
    <w:rsid w:val="00726138"/>
    <w:rsid w:val="0074027D"/>
    <w:rsid w:val="00744CFD"/>
    <w:rsid w:val="0075364B"/>
    <w:rsid w:val="007637EC"/>
    <w:rsid w:val="00773AC1"/>
    <w:rsid w:val="00784FE7"/>
    <w:rsid w:val="007A3336"/>
    <w:rsid w:val="007A36F7"/>
    <w:rsid w:val="007A59E8"/>
    <w:rsid w:val="007B05BC"/>
    <w:rsid w:val="007E0EB0"/>
    <w:rsid w:val="007E33A3"/>
    <w:rsid w:val="007E5348"/>
    <w:rsid w:val="00802458"/>
    <w:rsid w:val="00805A34"/>
    <w:rsid w:val="008066EF"/>
    <w:rsid w:val="00815B49"/>
    <w:rsid w:val="00820383"/>
    <w:rsid w:val="00820B31"/>
    <w:rsid w:val="00821B5B"/>
    <w:rsid w:val="00825B85"/>
    <w:rsid w:val="00825D6E"/>
    <w:rsid w:val="00827ABA"/>
    <w:rsid w:val="0083341E"/>
    <w:rsid w:val="00834E93"/>
    <w:rsid w:val="00844E38"/>
    <w:rsid w:val="008505C6"/>
    <w:rsid w:val="00870982"/>
    <w:rsid w:val="00876F0F"/>
    <w:rsid w:val="008876B4"/>
    <w:rsid w:val="0089032B"/>
    <w:rsid w:val="008968DF"/>
    <w:rsid w:val="008B1870"/>
    <w:rsid w:val="008B2817"/>
    <w:rsid w:val="008C5BDE"/>
    <w:rsid w:val="008D0CD7"/>
    <w:rsid w:val="008D3F8D"/>
    <w:rsid w:val="008D4306"/>
    <w:rsid w:val="008E188A"/>
    <w:rsid w:val="008F3D1E"/>
    <w:rsid w:val="008F716D"/>
    <w:rsid w:val="009114C8"/>
    <w:rsid w:val="009206D3"/>
    <w:rsid w:val="0093290E"/>
    <w:rsid w:val="00934851"/>
    <w:rsid w:val="00934E4E"/>
    <w:rsid w:val="009409F8"/>
    <w:rsid w:val="00951E1D"/>
    <w:rsid w:val="0095280C"/>
    <w:rsid w:val="0095551C"/>
    <w:rsid w:val="009774EC"/>
    <w:rsid w:val="009860E1"/>
    <w:rsid w:val="00987CE9"/>
    <w:rsid w:val="009918BC"/>
    <w:rsid w:val="00994540"/>
    <w:rsid w:val="009A4E8D"/>
    <w:rsid w:val="009B0D1C"/>
    <w:rsid w:val="009B11AE"/>
    <w:rsid w:val="009B162D"/>
    <w:rsid w:val="009C2B3E"/>
    <w:rsid w:val="009C52C7"/>
    <w:rsid w:val="009D1501"/>
    <w:rsid w:val="009D5FA8"/>
    <w:rsid w:val="009E2E6B"/>
    <w:rsid w:val="009F4CBE"/>
    <w:rsid w:val="009F6AAA"/>
    <w:rsid w:val="009F7DF5"/>
    <w:rsid w:val="00A03301"/>
    <w:rsid w:val="00A054C6"/>
    <w:rsid w:val="00A23F5E"/>
    <w:rsid w:val="00A257CC"/>
    <w:rsid w:val="00A266EF"/>
    <w:rsid w:val="00A27902"/>
    <w:rsid w:val="00A30CE6"/>
    <w:rsid w:val="00A364D8"/>
    <w:rsid w:val="00A5041B"/>
    <w:rsid w:val="00A5194A"/>
    <w:rsid w:val="00A54A11"/>
    <w:rsid w:val="00A617F9"/>
    <w:rsid w:val="00A73790"/>
    <w:rsid w:val="00A73B7E"/>
    <w:rsid w:val="00A75A0C"/>
    <w:rsid w:val="00A763EE"/>
    <w:rsid w:val="00A84113"/>
    <w:rsid w:val="00AA3212"/>
    <w:rsid w:val="00AD3421"/>
    <w:rsid w:val="00AD363A"/>
    <w:rsid w:val="00AD3B79"/>
    <w:rsid w:val="00AD6ABB"/>
    <w:rsid w:val="00B17EFE"/>
    <w:rsid w:val="00B27C17"/>
    <w:rsid w:val="00B4364F"/>
    <w:rsid w:val="00B44136"/>
    <w:rsid w:val="00B45593"/>
    <w:rsid w:val="00B5604B"/>
    <w:rsid w:val="00B60C32"/>
    <w:rsid w:val="00B6462F"/>
    <w:rsid w:val="00B9235C"/>
    <w:rsid w:val="00B9491F"/>
    <w:rsid w:val="00B95528"/>
    <w:rsid w:val="00B960E7"/>
    <w:rsid w:val="00B96A9A"/>
    <w:rsid w:val="00BA61BA"/>
    <w:rsid w:val="00BA75E4"/>
    <w:rsid w:val="00BB19C3"/>
    <w:rsid w:val="00BC215E"/>
    <w:rsid w:val="00BD71E3"/>
    <w:rsid w:val="00BE0D78"/>
    <w:rsid w:val="00BE0E93"/>
    <w:rsid w:val="00BE4E42"/>
    <w:rsid w:val="00BF0C36"/>
    <w:rsid w:val="00BF3B89"/>
    <w:rsid w:val="00BF4B3C"/>
    <w:rsid w:val="00BF784D"/>
    <w:rsid w:val="00C00D9F"/>
    <w:rsid w:val="00C0527F"/>
    <w:rsid w:val="00C14A84"/>
    <w:rsid w:val="00C156F7"/>
    <w:rsid w:val="00C225D1"/>
    <w:rsid w:val="00C227A4"/>
    <w:rsid w:val="00C25ED8"/>
    <w:rsid w:val="00C266EE"/>
    <w:rsid w:val="00C46AEA"/>
    <w:rsid w:val="00C50939"/>
    <w:rsid w:val="00C54A26"/>
    <w:rsid w:val="00C660AA"/>
    <w:rsid w:val="00C716DC"/>
    <w:rsid w:val="00C82C05"/>
    <w:rsid w:val="00C84107"/>
    <w:rsid w:val="00C84969"/>
    <w:rsid w:val="00C90806"/>
    <w:rsid w:val="00C94012"/>
    <w:rsid w:val="00CA5CAF"/>
    <w:rsid w:val="00CB230E"/>
    <w:rsid w:val="00CB482A"/>
    <w:rsid w:val="00CD222C"/>
    <w:rsid w:val="00CD24BB"/>
    <w:rsid w:val="00CD274E"/>
    <w:rsid w:val="00CD77A2"/>
    <w:rsid w:val="00CE0017"/>
    <w:rsid w:val="00CE2D21"/>
    <w:rsid w:val="00CE468D"/>
    <w:rsid w:val="00CF3460"/>
    <w:rsid w:val="00CF3D40"/>
    <w:rsid w:val="00D131B0"/>
    <w:rsid w:val="00D13A70"/>
    <w:rsid w:val="00D32712"/>
    <w:rsid w:val="00D434F1"/>
    <w:rsid w:val="00D53045"/>
    <w:rsid w:val="00D55216"/>
    <w:rsid w:val="00D61C0F"/>
    <w:rsid w:val="00D61D25"/>
    <w:rsid w:val="00D61FED"/>
    <w:rsid w:val="00D6210A"/>
    <w:rsid w:val="00D63006"/>
    <w:rsid w:val="00D6615C"/>
    <w:rsid w:val="00D66A0B"/>
    <w:rsid w:val="00D857DD"/>
    <w:rsid w:val="00D871BD"/>
    <w:rsid w:val="00D910B7"/>
    <w:rsid w:val="00D92DE8"/>
    <w:rsid w:val="00D94623"/>
    <w:rsid w:val="00DA5810"/>
    <w:rsid w:val="00DB1E90"/>
    <w:rsid w:val="00DB4ABB"/>
    <w:rsid w:val="00DD1ACA"/>
    <w:rsid w:val="00DD309C"/>
    <w:rsid w:val="00DE4697"/>
    <w:rsid w:val="00DF2023"/>
    <w:rsid w:val="00DF4268"/>
    <w:rsid w:val="00DF7D22"/>
    <w:rsid w:val="00E002BA"/>
    <w:rsid w:val="00E01F2A"/>
    <w:rsid w:val="00E21488"/>
    <w:rsid w:val="00E253A2"/>
    <w:rsid w:val="00E27221"/>
    <w:rsid w:val="00E4196B"/>
    <w:rsid w:val="00E4634E"/>
    <w:rsid w:val="00E52B3A"/>
    <w:rsid w:val="00E56B5C"/>
    <w:rsid w:val="00E7570E"/>
    <w:rsid w:val="00EB10C1"/>
    <w:rsid w:val="00EB138F"/>
    <w:rsid w:val="00EC6B66"/>
    <w:rsid w:val="00ED11CA"/>
    <w:rsid w:val="00ED5C7B"/>
    <w:rsid w:val="00ED65F3"/>
    <w:rsid w:val="00EE3A31"/>
    <w:rsid w:val="00F00CAB"/>
    <w:rsid w:val="00F13D78"/>
    <w:rsid w:val="00F15CFA"/>
    <w:rsid w:val="00F4247D"/>
    <w:rsid w:val="00F42B37"/>
    <w:rsid w:val="00F43CA6"/>
    <w:rsid w:val="00F616AF"/>
    <w:rsid w:val="00F644C2"/>
    <w:rsid w:val="00F6473B"/>
    <w:rsid w:val="00F65233"/>
    <w:rsid w:val="00F70E22"/>
    <w:rsid w:val="00F72299"/>
    <w:rsid w:val="00F73AEB"/>
    <w:rsid w:val="00F81ECB"/>
    <w:rsid w:val="00F8444E"/>
    <w:rsid w:val="00F85829"/>
    <w:rsid w:val="00F86609"/>
    <w:rsid w:val="00F90A4C"/>
    <w:rsid w:val="00F90B6F"/>
    <w:rsid w:val="00F90C3A"/>
    <w:rsid w:val="00F968E2"/>
    <w:rsid w:val="00FA1604"/>
    <w:rsid w:val="00FB4530"/>
    <w:rsid w:val="00FB5812"/>
    <w:rsid w:val="00FD09B3"/>
    <w:rsid w:val="00FD3260"/>
    <w:rsid w:val="00FE2C74"/>
    <w:rsid w:val="00FE35EB"/>
    <w:rsid w:val="00FE3CBE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C8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8BE4-6BBA-45C1-8361-2A32EDF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Santiago da Silva</dc:creator>
  <cp:keywords/>
  <dc:description/>
  <cp:lastModifiedBy>Thereza Marina Cunha M. Cunha</cp:lastModifiedBy>
  <cp:revision>11</cp:revision>
  <cp:lastPrinted>2016-01-27T17:06:00Z</cp:lastPrinted>
  <dcterms:created xsi:type="dcterms:W3CDTF">2016-01-18T13:44:00Z</dcterms:created>
  <dcterms:modified xsi:type="dcterms:W3CDTF">2016-03-03T18:21:00Z</dcterms:modified>
</cp:coreProperties>
</file>